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19" w:rsidRDefault="002D4C19" w:rsidP="002D4C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2D4C19" w:rsidRPr="0065612C" w:rsidRDefault="002D4C19" w:rsidP="002D4C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hyperlink r:id="rId4" w:tgtFrame="_blank" w:history="1">
        <w:r w:rsidRPr="006E6102">
          <w:rPr>
            <w:rStyle w:val="Collegamentoipertestuale"/>
            <w:rFonts w:ascii="Calibri" w:hAnsi="Calibri"/>
            <w:i/>
            <w:iCs/>
            <w:color w:val="67AF34"/>
            <w:sz w:val="28"/>
            <w:szCs w:val="28"/>
          </w:rPr>
          <w:t>Direttiva 1 giugno 2017, n. 3, Presidente del Consiglio dei Ministri</w:t>
        </w:r>
      </w:hyperlink>
    </w:p>
    <w:p w:rsidR="002D4C19" w:rsidRPr="0065612C" w:rsidRDefault="002D4C19" w:rsidP="002D4C19">
      <w:pPr>
        <w:pStyle w:val="NormaleWeb"/>
        <w:shd w:val="clear" w:color="auto" w:fill="FFFFFF"/>
        <w:spacing w:before="0" w:beforeAutospacing="0" w:after="0" w:afterAutospacing="0" w:line="432" w:lineRule="atLeast"/>
        <w:rPr>
          <w:rFonts w:ascii="Calibri" w:hAnsi="Calibri" w:cs="Helvetica"/>
          <w:color w:val="333333"/>
          <w:spacing w:val="2"/>
        </w:rPr>
      </w:pPr>
      <w:r w:rsidRPr="0065612C">
        <w:rPr>
          <w:rFonts w:ascii="Calibri" w:hAnsi="Calibri" w:cs="Helvetica"/>
          <w:b/>
          <w:bCs/>
          <w:color w:val="333333"/>
          <w:spacing w:val="2"/>
        </w:rPr>
        <w:t>DIRETTIVA DEL PRESIDENTE DEL CONSIGLIO DEI MINISTRI RECANTE INDIRIZZI PER L'ATTUAZIONE DEI COMMI 1 E 2 DELL’ARTICOLO 14 DELLA LEGGE 7 AGOSTO 2015, N. 124 E LINEE GUIDA CONTENENTI REGOLE INERENTI ALL'ORGANIZZAZIONE DEL LAVORO FINALIZZATE A PROMUOVERE LA CONCILIAZIONE DEI TEMPI DI VITA E DI LAVORO DEI DIPENDENTI”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l’articolo 14 della legge 7 agosto 2015, n. 124,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Deleghe al Governo in materia di riorganizzazione delle amministrazioni pubbliche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 e, in particolare, il comma 3, secondo cui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Con direttiva del Presidente del Consiglio dei ministri, sentita la Conferenza unificata di cui all'articolo 8 del decreto legislativo 28 agosto 1997, n. 281, sono definiti indirizzi per l'attuazione dei commi 1 e 2 del presente articolo e linee guida contenenti regole inerenti l'organizzazione del lavoro finalizzate a promuovere la conciliazione dei tempi di vita e di lavoro dei dipendenti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Capo II del DDL A.S. 2233-B, nel testo definitivamente approvato dal Senato il 10 Maggio 2017,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Misure per la tutela del lavoro autonomo non imprenditoriale e misure volte a favorire l’articolazione flessibile nei tempi e nei luoghi del lavoro subordinato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legislativo 15 giugno 2015, n. 80,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Misure per la conciliazione delle esigenze di cura, di vita e di lavoro, in attuazione dell'articolo 1, commi 8 e 9, della legge 10 dicembre 2014, n. 183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il decreto legislativo 26 marzo 2001, n. 151, recante “Testo unico delle disposizioni legislative in materia di tutela e sostegno della maternità e della paternità, a norma dell'articolo 15 della legge 8 marzo 2000, n. 53;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, la legge 8 marzo 2000, n. 53,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Disposizioni per il sostegno della maternità e della paternità, per il diritto alla cura e alla formazione e per il coordinamento dei tempi delle città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la legge 16 giugno 1998, n. 191,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Modifiche ed integrazioni alle L. 15 marzo 1997, n. 59, e L. 15 maggio 1997, n. 127, nonché norme in materia di formazione del personale dipendente e di lavoro a distanza nelle pubbliche amministrazioni. Disposizioni in materia di edilizia scolastica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legislativo 30 marzo 2001, n. 165,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Norme generali sull’ordinamento del lavoro alle dipendenze delle amministrazioni pubbliche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lastRenderedPageBreak/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legislativo 27 ottobre 2009, n. 150,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Attuazione della legge 4 marzo 2009, n. 15, in materia di ottimizzazione della produttività del lavoro pubblico e di efficienza e trasparenza delle pubbliche amministrazioni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legislativo 15 giugno 2015, n. 81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Disciplina organica dei contratti di lavoro e revisione della normativa in tema di mansioni, a norma dell'articolo 1, comma 7, della legge 10 dicembre 2014, n. 183.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”, ed in particolare l’art. 25 sul principio di non discriminazione;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il decreto legislativo 8 aprile 2003, n. 66,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Attuazione delle direttive 93/104/CE e 2000/34/CE concernenti taluni aspetti dell'organizzazione dell'orario di lavoro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l’articolo 9 del decreto legislativo 12 maggio 2016, n. 90,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Completamento della riforma della struttura del bilancio dello Stato, in attuazione dell'articolo 40, comma 1, della legge 31 dicembre 2009, n. 196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”, in materia di bilancio di genere;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il decreto legislativo 9 aprile 2008, n. 81,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Attuazione dell'articolo 1 della legge 3 agosto 2007, n. 123, in materia di tutela della salute e della sicurezza nei luoghi di lavoro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il decreto legislativo 30 giugno 2003, n. 196,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Codice in materia di protezione dei dati personali.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legislativo 7 marzo 2005, n. 82,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Codice dell’amministrazione digitale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il decreto del Presidente della Repubblica 8 marzo 1999, n. 70,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Regolamento recante disciplina del telelavoro nelle pubbliche amministrazioni, a norma dell'articolo 4, comma 3, della legge 16 giugno 1998, n. 191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l’Accordo quadro nazionale sul telelavoro nelle pubbliche amministrazioni, in attuazione delle disposizioni contenute nell’articolo 4, comma 3, della legge 16 giugno 1998, n. 191;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Visti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i contratti collettivi nazionali di lavoro relativi al personale e alla dirigenza delle amministrazioni pubbliche;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la Direttiva 1999/70/CE del Consiglio del 28 giugno 1999 relativa all’Accordo quadro CES, UNICE E CEEP sul lavoro a tempo determinato e in particolare la clausola 4 riguardante il principio di non discriminazione;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lastRenderedPageBreak/>
        <w:t>Vista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la Risoluzione del Parlamento europeo del 13 settembre 2016 sulla creazione di condizioni del mercato del lavoro favorevoli all’equilibrio tra vita privata e vita professionale;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Sentita 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la Conferenza unificata di cui all'articolo 8 del decreto legislativo 28 agosto 1997, n. 281 che, nella seduta del 25 maggio 2017, ha espresso il proprio parere favorevole;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Visto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 xml:space="preserve"> il decreto del Presidente del Consiglio dei ministri del 26 gennaio 2017, che dispone la delega di funzioni al Ministro per la semplificazione e la pubblica amministrazione </w:t>
      </w:r>
      <w:proofErr w:type="spellStart"/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On.le</w:t>
      </w:r>
      <w:proofErr w:type="spellEnd"/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 xml:space="preserve"> dott.ssa Maria Anna Madia;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b/>
          <w:bCs/>
          <w:color w:val="333333"/>
          <w:spacing w:val="2"/>
          <w:sz w:val="28"/>
          <w:szCs w:val="28"/>
          <w:lang w:eastAsia="it-IT"/>
        </w:rPr>
        <w:t>Emana la seguente direttiva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La legge 7 agosto 2015, n. 124, recante “</w:t>
      </w:r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Deleghe al Governo in materia di riorganizzazione delle amministrazioni pubbliche</w:t>
      </w: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”, all’articolo 14, introduce nuove misure per la promozione della conciliazione dei tempi di vita e di lavoro che le amministrazioni pubbliche sono chiamate ad attuare a decorrere dalla data di entrata in vigore della stessa legge.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La disposizione prevede che le amministrazioni pubbliche, nei limiti delle risorse di bilancio disponibili a legislazione vigente e senza nuovi o maggiori oneri per la finanza pubblica, adottino misure organizzative volte a: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- fissare obiettivi annuali per l'attuazione del telelavoro;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- sperimentare, anche al fine di tutelare le cure parentali, nuove modalità spazio-temporali di svolgimento della prestazione lavorativa, il cosiddetto lavoro agile o </w:t>
      </w:r>
      <w:proofErr w:type="spellStart"/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smart</w:t>
      </w:r>
      <w:proofErr w:type="spellEnd"/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 xml:space="preserve"> </w:t>
      </w:r>
      <w:proofErr w:type="spellStart"/>
      <w:r w:rsidRPr="006E6102">
        <w:rPr>
          <w:rFonts w:eastAsia="Times New Roman" w:cs="Helvetica"/>
          <w:i/>
          <w:iCs/>
          <w:color w:val="333333"/>
          <w:spacing w:val="2"/>
          <w:sz w:val="28"/>
          <w:szCs w:val="28"/>
          <w:lang w:eastAsia="it-IT"/>
        </w:rPr>
        <w:t>working</w:t>
      </w:r>
      <w:proofErr w:type="spellEnd"/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Le finalità sottese sono quelle dell’introduzione, di nuove modalità di organizzazione del lavoro basate sull’utilizzo della flessibilità lavorativa, sulla valutazione per obiettivi e la rilevazione dei bisogni del personale dipendente, anche alla luce delle esigenze di conciliazione dei tempi di vita e di lavoro. A questo riguardo assumono rilievo le politiche di ciascuna amministrazione in merito a: valorizzazione delle risorse umane e razionalizzazione delle risorse strumentali disponibili nell’ottica di una maggiore produttività ed efficienza;  responsabilizzazione del personale dirigente e non; riprogettazione dello spazio di lavoro; promozione e più ampia diffusione dell’utilizzo delle tecnologie digitali; rafforzamento dei sistemi di misurazione e valutazione delle performance; agevolazione della conciliazione dei tempi di vita e di lavoro.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lastRenderedPageBreak/>
        <w:t>Le misure da adottare devono permettere, entro tre anni, ad almeno il 10 per cento dei dipendenti, ove lo richiedano, di avvalersi delle nuove modalità spazio-temporali di svolgimento della prestazione lavorativa, garantendo che i dipendenti che se ne avvalgono non subiscano penalizzazioni ai fini del riconoscimento di professionalità e della progressione di carriera.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L’adozione delle misure organizzative e il raggiungimento degli obiettivi descritti costituiscono oggetto di valutazione nell'ambito dei percorsi di misurazione della performance organizzativa e individuale all'interno delle amministrazioni pubbliche.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Le amministrazioni dovranno verificare l'impatto delle misure organizzative adottate in tema di conciliazione dei tempi di vita e di lavoro dei dipendenti sull'efficacia e sull'efficienza dell'azione amministrativa, nonché sulla qualità dei servizi erogati.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Nel contesto della promozione della conciliazione dei tempi di vita e di lavoro, le amministrazioni pubbliche, nei limiti delle risorse di bilancio disponibili a legislazione vigente e senza nuovi o maggiori oneri per la finanza pubblica, procedono, a stipulare convenzioni con asili nido e scuole dell'infanzia e a organizzare, anche attraverso accordi con altre amministrazioni pubbliche, servizi di supporto alla genitorialità, aperti durante i periodi di chiusura scolastica.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La presente direttiva, emanata ai sensi del comma 3 dell’articolo 14 della legge 124/2015, nonché dell’articolo 18, comma 3, dell’A.S. 2233-B citato nelle premesse, fornisce indirizzi per l'attuazione delle predette disposizioni attraverso una fase di sperimentazione. Le linee guida, che ne costituiscono parte integrante, contengono indicazioni inerenti l’organizzazione del lavoro e la gestione del personale per promuovere la conciliazione dei tempi di vita e di lavoro dei dipendenti, favorire il benessere organizzativo e assicurare l’esercizio dei diritti delle lavoratrici e dei lavoratori.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Gli indirizzi, elaborati sulla base di un percorso condiviso con alcune amministrazioni, sono forniti, sentita la Conferenza unificata di cui all'articolo </w:t>
      </w:r>
      <w:hyperlink r:id="rId5" w:history="1">
        <w:r w:rsidRPr="006E6102">
          <w:rPr>
            <w:rFonts w:eastAsia="Times New Roman" w:cs="Helvetica"/>
            <w:color w:val="0066CC"/>
            <w:spacing w:val="2"/>
            <w:sz w:val="28"/>
            <w:szCs w:val="28"/>
            <w:lang w:eastAsia="it-IT"/>
          </w:rPr>
          <w:t>8</w:t>
        </w:r>
      </w:hyperlink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 del </w:t>
      </w:r>
      <w:hyperlink r:id="rId6" w:history="1">
        <w:r w:rsidRPr="006E6102">
          <w:rPr>
            <w:rFonts w:eastAsia="Times New Roman" w:cs="Helvetica"/>
            <w:color w:val="0066CC"/>
            <w:spacing w:val="2"/>
            <w:sz w:val="28"/>
            <w:szCs w:val="28"/>
            <w:lang w:eastAsia="it-IT"/>
          </w:rPr>
          <w:t>decreto legislativo 28 agosto 1997, n. 281</w:t>
        </w:r>
      </w:hyperlink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t>, al fine di favorire una efficace applicazione delle predette misure da parte delle pubbliche amministrazioni nell’ambito della propria autonomia organizzativa e gestionale.</w:t>
      </w:r>
    </w:p>
    <w:p w:rsidR="002D4C19" w:rsidRPr="006E6102" w:rsidRDefault="002D4C19" w:rsidP="002D4C19">
      <w:pPr>
        <w:shd w:val="clear" w:color="auto" w:fill="FFFFFF"/>
        <w:spacing w:line="432" w:lineRule="atLeast"/>
        <w:jc w:val="left"/>
        <w:rPr>
          <w:rFonts w:eastAsia="Times New Roman" w:cs="Helvetica"/>
          <w:color w:val="333333"/>
          <w:spacing w:val="2"/>
          <w:sz w:val="28"/>
          <w:szCs w:val="28"/>
          <w:lang w:eastAsia="it-IT"/>
        </w:rPr>
      </w:pPr>
      <w:r w:rsidRPr="006E6102">
        <w:rPr>
          <w:rFonts w:eastAsia="Times New Roman" w:cs="Helvetica"/>
          <w:color w:val="333333"/>
          <w:spacing w:val="2"/>
          <w:sz w:val="28"/>
          <w:szCs w:val="28"/>
          <w:lang w:eastAsia="it-IT"/>
        </w:rPr>
        <w:lastRenderedPageBreak/>
        <w:t>Ai fini dell’attuazione delle misure e degli obiettivi fissati dalla norma, con particolare riferimento alla sperimentazione di nuove modalità spazio-temporali di svolgimento della prestazione lavorativa, proseguirà la collaborazione già avviata con le amministrazioni attraverso le attività di monitoraggio definite nelle linee guida.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2D4C19" w:rsidRPr="0065612C" w:rsidTr="00734EEB">
        <w:tc>
          <w:tcPr>
            <w:tcW w:w="4830" w:type="dxa"/>
            <w:shd w:val="clear" w:color="auto" w:fill="FFFFFF"/>
            <w:vAlign w:val="center"/>
            <w:hideMark/>
          </w:tcPr>
          <w:p w:rsidR="002D4C19" w:rsidRPr="0065612C" w:rsidRDefault="002D4C19" w:rsidP="00734EEB">
            <w:pPr>
              <w:spacing w:line="432" w:lineRule="atLeast"/>
              <w:jc w:val="left"/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</w:pPr>
            <w:r w:rsidRPr="0065612C"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  <w:t>Roma, 1° giugno 2017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2D4C19" w:rsidRPr="0065612C" w:rsidRDefault="002D4C19" w:rsidP="00734EEB">
            <w:pPr>
              <w:spacing w:line="432" w:lineRule="atLeast"/>
              <w:jc w:val="left"/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</w:pPr>
            <w:r w:rsidRPr="0065612C"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  <w:t>p. IL PRESIDENTE DEL CONSIGLIO DEI MINISTRI</w:t>
            </w:r>
          </w:p>
          <w:p w:rsidR="002D4C19" w:rsidRPr="0065612C" w:rsidRDefault="002D4C19" w:rsidP="00734EEB">
            <w:pPr>
              <w:spacing w:line="432" w:lineRule="atLeast"/>
              <w:jc w:val="left"/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</w:pPr>
            <w:r w:rsidRPr="0065612C"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  <w:t>IL MINISTRO PER LA SEMPLIFICAZIONE E LA PUBBLICA AMMINISTRAZIONE</w:t>
            </w:r>
          </w:p>
          <w:p w:rsidR="002D4C19" w:rsidRPr="0065612C" w:rsidRDefault="002D4C19" w:rsidP="00734EEB">
            <w:pPr>
              <w:spacing w:line="432" w:lineRule="atLeast"/>
              <w:jc w:val="left"/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</w:pPr>
            <w:proofErr w:type="spellStart"/>
            <w:r w:rsidRPr="0065612C"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  <w:t>On.le</w:t>
            </w:r>
            <w:proofErr w:type="spellEnd"/>
            <w:r w:rsidRPr="0065612C">
              <w:rPr>
                <w:rFonts w:eastAsia="Times New Roman" w:cs="Helvetica"/>
                <w:color w:val="333333"/>
                <w:spacing w:val="2"/>
                <w:sz w:val="24"/>
                <w:szCs w:val="24"/>
                <w:lang w:eastAsia="it-IT"/>
              </w:rPr>
              <w:t xml:space="preserve"> Dott.ssa Marianna Madia</w:t>
            </w:r>
          </w:p>
        </w:tc>
      </w:tr>
    </w:tbl>
    <w:p w:rsidR="00591408" w:rsidRDefault="00591408">
      <w:bookmarkStart w:id="0" w:name="_GoBack"/>
      <w:bookmarkEnd w:id="0"/>
    </w:p>
    <w:sectPr w:rsidR="00591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19"/>
    <w:rsid w:val="002D4C19"/>
    <w:rsid w:val="005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9581-404E-4AF1-BC2D-B67D680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C1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4C1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D4C19"/>
    <w:rPr>
      <w:color w:val="0000FF"/>
      <w:u w:val="single"/>
    </w:rPr>
  </w:style>
  <w:style w:type="paragraph" w:customStyle="1" w:styleId="xmsonormal">
    <w:name w:val="x_msonormal"/>
    <w:basedOn w:val="Normale"/>
    <w:rsid w:val="002D4C1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1997-08-28;281!vig=" TargetMode="External"/><Relationship Id="rId5" Type="http://schemas.openxmlformats.org/officeDocument/2006/relationships/hyperlink" Target="http://www.normattiva.it/uri-res/N2Ls?urn:nir:stato:decreto.legislativo:1997-08-28;281~art8!vig=" TargetMode="External"/><Relationship Id="rId4" Type="http://schemas.openxmlformats.org/officeDocument/2006/relationships/hyperlink" Target="http://www.quotidianopa.leggiditalia.it/cgi-bin/downloader.cgi?OPERA=PK&amp;FILE=9492832_di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dei Conti</Company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Micucci Giuseppina</dc:creator>
  <cp:keywords/>
  <dc:description/>
  <cp:lastModifiedBy>Micucci Giuseppina</cp:lastModifiedBy>
  <cp:revision>1</cp:revision>
  <dcterms:created xsi:type="dcterms:W3CDTF">2017-06-26T09:37:00Z</dcterms:created>
  <dcterms:modified xsi:type="dcterms:W3CDTF">2017-06-26T09:37:00Z</dcterms:modified>
</cp:coreProperties>
</file>