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993" w:rsidRDefault="004C2993" w:rsidP="00074FED">
      <w:pPr>
        <w:jc w:val="both"/>
        <w:rPr>
          <w:i/>
          <w:sz w:val="32"/>
        </w:rPr>
      </w:pPr>
      <w:r w:rsidRPr="00071290">
        <w:rPr>
          <w:rFonts w:ascii="Arial" w:hAnsi="Arial" w:cs="Arial"/>
          <w:i/>
          <w:sz w:val="28"/>
          <w:szCs w:val="28"/>
        </w:rPr>
        <w:t>Senato della Repubblica</w:t>
      </w:r>
      <w:r>
        <w:rPr>
          <w:i/>
          <w:sz w:val="32"/>
        </w:rPr>
        <w:tab/>
      </w:r>
      <w:r w:rsidR="009A6F9F">
        <w:rPr>
          <w:i/>
          <w:sz w:val="32"/>
        </w:rPr>
        <w:t xml:space="preserve">                </w:t>
      </w:r>
      <w:r w:rsidR="006907E2">
        <w:rPr>
          <w:i/>
          <w:sz w:val="32"/>
        </w:rPr>
        <w:t xml:space="preserve">                               </w:t>
      </w:r>
      <w:r w:rsidRPr="00071290">
        <w:rPr>
          <w:rFonts w:ascii="Arial" w:hAnsi="Arial" w:cs="Arial"/>
          <w:i/>
          <w:sz w:val="28"/>
          <w:szCs w:val="28"/>
        </w:rPr>
        <w:t>X</w:t>
      </w:r>
      <w:r w:rsidR="009A6F9F" w:rsidRPr="00071290">
        <w:rPr>
          <w:rFonts w:ascii="Arial" w:hAnsi="Arial" w:cs="Arial"/>
          <w:i/>
          <w:sz w:val="28"/>
          <w:szCs w:val="28"/>
        </w:rPr>
        <w:t>V</w:t>
      </w:r>
      <w:r w:rsidR="00B06027">
        <w:rPr>
          <w:rFonts w:ascii="Arial" w:hAnsi="Arial" w:cs="Arial"/>
          <w:i/>
          <w:sz w:val="28"/>
          <w:szCs w:val="28"/>
        </w:rPr>
        <w:t>I</w:t>
      </w:r>
      <w:r w:rsidR="006907E2" w:rsidRPr="00071290">
        <w:rPr>
          <w:rFonts w:ascii="Arial" w:hAnsi="Arial" w:cs="Arial"/>
          <w:i/>
          <w:sz w:val="28"/>
          <w:szCs w:val="28"/>
        </w:rPr>
        <w:t>I</w:t>
      </w:r>
      <w:r w:rsidRPr="00071290">
        <w:rPr>
          <w:rFonts w:ascii="Arial" w:hAnsi="Arial" w:cs="Arial"/>
          <w:i/>
          <w:sz w:val="28"/>
          <w:szCs w:val="28"/>
        </w:rPr>
        <w:t xml:space="preserve"> Legislatura</w:t>
      </w:r>
    </w:p>
    <w:p w:rsidR="004C2993" w:rsidRDefault="004C2993" w:rsidP="00074FED">
      <w:pPr>
        <w:jc w:val="both"/>
        <w:rPr>
          <w:sz w:val="28"/>
        </w:rPr>
      </w:pPr>
      <w:r>
        <w:rPr>
          <w:sz w:val="28"/>
        </w:rPr>
        <w:tab/>
      </w:r>
    </w:p>
    <w:p w:rsidR="004F4AAB" w:rsidRDefault="00CD77D0" w:rsidP="00074FED">
      <w:pPr>
        <w:jc w:val="center"/>
        <w:rPr>
          <w:b/>
          <w:smallCaps/>
          <w:spacing w:val="60"/>
          <w:sz w:val="32"/>
        </w:rPr>
      </w:pPr>
      <w:r>
        <w:rPr>
          <w:noProof/>
          <w:sz w:val="22"/>
        </w:rPr>
        <w:drawing>
          <wp:inline distT="0" distB="0" distL="0" distR="0">
            <wp:extent cx="830580" cy="746760"/>
            <wp:effectExtent l="19050" t="0" r="7620" b="0"/>
            <wp:docPr id="1" name="Immagine 1" descr="logo_comm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mmiss"/>
                    <pic:cNvPicPr>
                      <a:picLocks noChangeAspect="1" noChangeArrowheads="1"/>
                    </pic:cNvPicPr>
                  </pic:nvPicPr>
                  <pic:blipFill>
                    <a:blip r:embed="rId8" cstate="print"/>
                    <a:srcRect/>
                    <a:stretch>
                      <a:fillRect/>
                    </a:stretch>
                  </pic:blipFill>
                  <pic:spPr bwMode="auto">
                    <a:xfrm>
                      <a:off x="0" y="0"/>
                      <a:ext cx="830580" cy="746760"/>
                    </a:xfrm>
                    <a:prstGeom prst="rect">
                      <a:avLst/>
                    </a:prstGeom>
                    <a:noFill/>
                    <a:ln w="9525">
                      <a:noFill/>
                      <a:miter lim="800000"/>
                      <a:headEnd/>
                      <a:tailEnd/>
                    </a:ln>
                  </pic:spPr>
                </pic:pic>
              </a:graphicData>
            </a:graphic>
          </wp:inline>
        </w:drawing>
      </w:r>
    </w:p>
    <w:p w:rsidR="004C2993" w:rsidRDefault="004C2993" w:rsidP="00074FED">
      <w:pPr>
        <w:jc w:val="center"/>
        <w:rPr>
          <w:b/>
          <w:smallCaps/>
          <w:spacing w:val="60"/>
          <w:sz w:val="32"/>
        </w:rPr>
      </w:pPr>
      <w:r>
        <w:rPr>
          <w:sz w:val="22"/>
        </w:rPr>
        <w:t xml:space="preserve">                                       </w:t>
      </w:r>
    </w:p>
    <w:p w:rsidR="004C2993" w:rsidRPr="00071290" w:rsidRDefault="004C2993" w:rsidP="00074FED">
      <w:pPr>
        <w:jc w:val="center"/>
        <w:rPr>
          <w:rFonts w:ascii="Arial" w:hAnsi="Arial" w:cs="Arial"/>
          <w:b/>
          <w:smallCaps/>
          <w:spacing w:val="60"/>
          <w:sz w:val="32"/>
        </w:rPr>
      </w:pPr>
      <w:r w:rsidRPr="00071290">
        <w:rPr>
          <w:rFonts w:ascii="Arial" w:hAnsi="Arial" w:cs="Arial"/>
          <w:b/>
          <w:smallCaps/>
          <w:spacing w:val="60"/>
          <w:sz w:val="32"/>
        </w:rPr>
        <w:t>7ª Commissione</w:t>
      </w:r>
    </w:p>
    <w:p w:rsidR="004C2993" w:rsidRPr="00071290" w:rsidRDefault="004C2993" w:rsidP="00074FED">
      <w:pPr>
        <w:jc w:val="center"/>
        <w:rPr>
          <w:rFonts w:ascii="Arial" w:hAnsi="Arial" w:cs="Arial"/>
          <w:sz w:val="28"/>
          <w:szCs w:val="28"/>
        </w:rPr>
      </w:pPr>
      <w:r w:rsidRPr="00071290">
        <w:rPr>
          <w:rFonts w:ascii="Arial" w:hAnsi="Arial" w:cs="Arial"/>
          <w:sz w:val="28"/>
          <w:szCs w:val="28"/>
        </w:rPr>
        <w:t>(Istruzione pubblica, beni culturali, ricerca scientifica, spettacolo e sport)</w:t>
      </w:r>
    </w:p>
    <w:p w:rsidR="00E2504B" w:rsidRDefault="00E2504B" w:rsidP="00074FED">
      <w:pPr>
        <w:jc w:val="center"/>
        <w:rPr>
          <w:b/>
          <w:sz w:val="48"/>
          <w:szCs w:val="48"/>
        </w:rPr>
      </w:pPr>
    </w:p>
    <w:p w:rsidR="00875E6D" w:rsidRDefault="00875E6D" w:rsidP="00074FED">
      <w:pPr>
        <w:jc w:val="center"/>
        <w:rPr>
          <w:rFonts w:ascii="Arial" w:hAnsi="Arial" w:cs="Arial"/>
          <w:b/>
          <w:sz w:val="48"/>
          <w:szCs w:val="48"/>
        </w:rPr>
      </w:pPr>
      <w:r w:rsidRPr="00071290">
        <w:rPr>
          <w:rFonts w:ascii="Arial" w:hAnsi="Arial" w:cs="Arial"/>
          <w:b/>
          <w:sz w:val="48"/>
          <w:szCs w:val="48"/>
        </w:rPr>
        <w:t>SCHEDONE</w:t>
      </w:r>
    </w:p>
    <w:p w:rsidR="007C29A0" w:rsidRPr="002B1ADA" w:rsidRDefault="007C29A0" w:rsidP="00074FED">
      <w:pPr>
        <w:jc w:val="center"/>
        <w:rPr>
          <w:rFonts w:ascii="Arial" w:hAnsi="Arial" w:cs="Arial"/>
          <w:b/>
          <w:sz w:val="48"/>
          <w:szCs w:val="48"/>
        </w:rPr>
      </w:pPr>
      <w:r w:rsidRPr="002B1ADA">
        <w:rPr>
          <w:rFonts w:ascii="Arial" w:hAnsi="Arial" w:cs="Arial"/>
          <w:b/>
          <w:sz w:val="48"/>
          <w:szCs w:val="48"/>
        </w:rPr>
        <w:t xml:space="preserve">DDL </w:t>
      </w:r>
      <w:r w:rsidR="0046319D">
        <w:rPr>
          <w:rFonts w:ascii="Arial" w:hAnsi="Arial" w:cs="Arial"/>
          <w:b/>
          <w:sz w:val="48"/>
          <w:szCs w:val="48"/>
        </w:rPr>
        <w:t>n</w:t>
      </w:r>
      <w:r w:rsidR="006E3157">
        <w:rPr>
          <w:rFonts w:ascii="Arial" w:hAnsi="Arial" w:cs="Arial"/>
          <w:b/>
          <w:sz w:val="48"/>
          <w:szCs w:val="48"/>
        </w:rPr>
        <w:t>.</w:t>
      </w:r>
      <w:r w:rsidR="00EF5B45">
        <w:rPr>
          <w:rFonts w:ascii="Arial" w:hAnsi="Arial" w:cs="Arial"/>
          <w:b/>
          <w:sz w:val="48"/>
          <w:szCs w:val="48"/>
        </w:rPr>
        <w:t xml:space="preserve"> 1254</w:t>
      </w:r>
    </w:p>
    <w:p w:rsidR="00EB0591" w:rsidRPr="00EB0591" w:rsidRDefault="00EF5B45" w:rsidP="00074FED">
      <w:pPr>
        <w:jc w:val="center"/>
        <w:rPr>
          <w:rFonts w:ascii="Arial" w:hAnsi="Arial" w:cs="Arial"/>
          <w:b/>
          <w:sz w:val="36"/>
          <w:szCs w:val="36"/>
        </w:rPr>
      </w:pPr>
      <w:r>
        <w:rPr>
          <w:rFonts w:ascii="Arial" w:hAnsi="Arial" w:cs="Arial"/>
          <w:b/>
          <w:sz w:val="36"/>
          <w:szCs w:val="36"/>
        </w:rPr>
        <w:t xml:space="preserve">(DECRETO-LEGGE AUTOMATISMI </w:t>
      </w:r>
      <w:r w:rsidR="00AF3794">
        <w:rPr>
          <w:rFonts w:ascii="Arial" w:hAnsi="Arial" w:cs="Arial"/>
          <w:b/>
          <w:sz w:val="36"/>
          <w:szCs w:val="36"/>
        </w:rPr>
        <w:t>S</w:t>
      </w:r>
      <w:r>
        <w:rPr>
          <w:rFonts w:ascii="Arial" w:hAnsi="Arial" w:cs="Arial"/>
          <w:b/>
          <w:sz w:val="36"/>
          <w:szCs w:val="36"/>
        </w:rPr>
        <w:t>TIPENDIALI PERSONALE DELLA SCUOLA)</w:t>
      </w:r>
    </w:p>
    <w:p w:rsidR="00250A35" w:rsidRDefault="00250A35" w:rsidP="00074FED">
      <w:pPr>
        <w:ind w:left="360" w:right="432"/>
        <w:jc w:val="both"/>
        <w:rPr>
          <w:sz w:val="28"/>
        </w:rPr>
      </w:pPr>
    </w:p>
    <w:tbl>
      <w:tblPr>
        <w:tblStyle w:val="Grigliatabella"/>
        <w:tblW w:w="10030" w:type="dxa"/>
        <w:tblInd w:w="-459" w:type="dxa"/>
        <w:tblLayout w:type="fixed"/>
        <w:tblLook w:val="01E0"/>
      </w:tblPr>
      <w:tblGrid>
        <w:gridCol w:w="1560"/>
        <w:gridCol w:w="3685"/>
        <w:gridCol w:w="284"/>
        <w:gridCol w:w="4501"/>
      </w:tblGrid>
      <w:tr w:rsidR="00F75F14" w:rsidRPr="00A575CE" w:rsidTr="00EB0591">
        <w:tc>
          <w:tcPr>
            <w:tcW w:w="1560" w:type="dxa"/>
            <w:tcBorders>
              <w:top w:val="nil"/>
              <w:left w:val="nil"/>
              <w:bottom w:val="nil"/>
              <w:right w:val="nil"/>
            </w:tcBorders>
          </w:tcPr>
          <w:p w:rsidR="008A142D" w:rsidRPr="00423903" w:rsidRDefault="008A142D" w:rsidP="00074FED">
            <w:pPr>
              <w:ind w:right="432"/>
              <w:jc w:val="both"/>
              <w:rPr>
                <w:rFonts w:ascii="Arial" w:hAnsi="Arial" w:cs="Arial"/>
                <w:b/>
                <w:i/>
                <w:sz w:val="22"/>
                <w:szCs w:val="22"/>
              </w:rPr>
            </w:pPr>
          </w:p>
        </w:tc>
        <w:tc>
          <w:tcPr>
            <w:tcW w:w="3685" w:type="dxa"/>
            <w:tcBorders>
              <w:top w:val="nil"/>
              <w:left w:val="nil"/>
              <w:bottom w:val="nil"/>
              <w:right w:val="single" w:sz="4" w:space="0" w:color="auto"/>
            </w:tcBorders>
          </w:tcPr>
          <w:p w:rsidR="008A142D" w:rsidRPr="00423903" w:rsidRDefault="008A142D" w:rsidP="00074FED">
            <w:pPr>
              <w:ind w:right="432"/>
              <w:jc w:val="both"/>
              <w:rPr>
                <w:szCs w:val="24"/>
              </w:rPr>
            </w:pPr>
          </w:p>
        </w:tc>
        <w:tc>
          <w:tcPr>
            <w:tcW w:w="4785" w:type="dxa"/>
            <w:gridSpan w:val="2"/>
            <w:tcBorders>
              <w:top w:val="single" w:sz="4" w:space="0" w:color="auto"/>
              <w:left w:val="single" w:sz="4" w:space="0" w:color="auto"/>
              <w:bottom w:val="single" w:sz="6" w:space="0" w:color="auto"/>
              <w:right w:val="single" w:sz="4" w:space="0" w:color="auto"/>
            </w:tcBorders>
          </w:tcPr>
          <w:p w:rsidR="008A142D" w:rsidRPr="00EB0591" w:rsidRDefault="0010496C" w:rsidP="00C95FF0">
            <w:pPr>
              <w:ind w:right="432"/>
              <w:jc w:val="center"/>
              <w:rPr>
                <w:i/>
                <w:szCs w:val="24"/>
              </w:rPr>
            </w:pPr>
            <w:r w:rsidRPr="00423903">
              <w:rPr>
                <w:rFonts w:ascii="Arial" w:hAnsi="Arial" w:cs="Arial"/>
                <w:b/>
                <w:i/>
                <w:sz w:val="22"/>
                <w:szCs w:val="22"/>
              </w:rPr>
              <w:t>Parer</w:t>
            </w:r>
            <w:r>
              <w:rPr>
                <w:rFonts w:ascii="Arial" w:hAnsi="Arial" w:cs="Arial"/>
                <w:b/>
                <w:i/>
                <w:sz w:val="22"/>
                <w:szCs w:val="22"/>
              </w:rPr>
              <w:t xml:space="preserve">i espressi in sede </w:t>
            </w:r>
            <w:proofErr w:type="spellStart"/>
            <w:r>
              <w:rPr>
                <w:rFonts w:ascii="Arial" w:hAnsi="Arial" w:cs="Arial"/>
                <w:b/>
                <w:i/>
                <w:sz w:val="22"/>
                <w:szCs w:val="22"/>
              </w:rPr>
              <w:t>consultiva*</w:t>
            </w:r>
            <w:proofErr w:type="spellEnd"/>
          </w:p>
        </w:tc>
      </w:tr>
      <w:tr w:rsidR="00CC7791" w:rsidRPr="00A575CE" w:rsidTr="00EB0591">
        <w:tc>
          <w:tcPr>
            <w:tcW w:w="1560" w:type="dxa"/>
            <w:tcBorders>
              <w:top w:val="nil"/>
              <w:left w:val="nil"/>
              <w:bottom w:val="nil"/>
              <w:right w:val="nil"/>
            </w:tcBorders>
          </w:tcPr>
          <w:p w:rsidR="00CC7791" w:rsidRPr="00423903" w:rsidRDefault="00CC7791" w:rsidP="00074FED">
            <w:pPr>
              <w:ind w:right="432"/>
              <w:jc w:val="both"/>
              <w:rPr>
                <w:rFonts w:ascii="Arial" w:hAnsi="Arial" w:cs="Arial"/>
                <w:b/>
                <w:i/>
                <w:sz w:val="22"/>
                <w:szCs w:val="22"/>
              </w:rPr>
            </w:pPr>
            <w:r w:rsidRPr="00423903">
              <w:rPr>
                <w:rFonts w:ascii="Arial" w:hAnsi="Arial" w:cs="Arial"/>
                <w:b/>
                <w:i/>
                <w:sz w:val="22"/>
                <w:szCs w:val="22"/>
              </w:rPr>
              <w:t>Relator</w:t>
            </w:r>
            <w:r w:rsidR="00C95FF0">
              <w:rPr>
                <w:rFonts w:ascii="Arial" w:hAnsi="Arial" w:cs="Arial"/>
                <w:b/>
                <w:i/>
                <w:sz w:val="22"/>
                <w:szCs w:val="22"/>
              </w:rPr>
              <w:t>e</w:t>
            </w:r>
          </w:p>
        </w:tc>
        <w:tc>
          <w:tcPr>
            <w:tcW w:w="3685" w:type="dxa"/>
            <w:tcBorders>
              <w:top w:val="nil"/>
              <w:left w:val="nil"/>
              <w:bottom w:val="nil"/>
              <w:right w:val="single" w:sz="4" w:space="0" w:color="auto"/>
            </w:tcBorders>
          </w:tcPr>
          <w:p w:rsidR="00CC7791" w:rsidRPr="00423903" w:rsidRDefault="00C95FF0" w:rsidP="0046319D">
            <w:pPr>
              <w:ind w:right="432"/>
              <w:jc w:val="both"/>
              <w:rPr>
                <w:szCs w:val="24"/>
              </w:rPr>
            </w:pPr>
            <w:proofErr w:type="spellStart"/>
            <w:r>
              <w:rPr>
                <w:szCs w:val="24"/>
              </w:rPr>
              <w:t>Se</w:t>
            </w:r>
            <w:r w:rsidR="00EB0591">
              <w:rPr>
                <w:szCs w:val="24"/>
              </w:rPr>
              <w:t>n</w:t>
            </w:r>
            <w:r w:rsidR="007C29A0">
              <w:rPr>
                <w:szCs w:val="24"/>
              </w:rPr>
              <w:t>.</w:t>
            </w:r>
            <w:proofErr w:type="spellEnd"/>
            <w:r w:rsidR="00EB0591">
              <w:rPr>
                <w:szCs w:val="24"/>
              </w:rPr>
              <w:t xml:space="preserve"> </w:t>
            </w:r>
            <w:proofErr w:type="spellStart"/>
            <w:r w:rsidR="00EF5B45">
              <w:rPr>
                <w:szCs w:val="24"/>
              </w:rPr>
              <w:t>Puglisi</w:t>
            </w:r>
            <w:proofErr w:type="spellEnd"/>
            <w:r w:rsidR="00EF5B45">
              <w:rPr>
                <w:szCs w:val="24"/>
              </w:rPr>
              <w:t xml:space="preserve"> </w:t>
            </w:r>
          </w:p>
        </w:tc>
        <w:tc>
          <w:tcPr>
            <w:tcW w:w="284" w:type="dxa"/>
            <w:tcBorders>
              <w:top w:val="single" w:sz="6" w:space="0" w:color="auto"/>
              <w:left w:val="single" w:sz="4" w:space="0" w:color="auto"/>
              <w:bottom w:val="single" w:sz="6" w:space="0" w:color="auto"/>
              <w:right w:val="single" w:sz="6" w:space="0" w:color="auto"/>
            </w:tcBorders>
            <w:shd w:val="clear" w:color="auto" w:fill="auto"/>
          </w:tcPr>
          <w:p w:rsidR="00CC7791" w:rsidRPr="00B06027" w:rsidRDefault="00B06027" w:rsidP="00074FED">
            <w:pPr>
              <w:ind w:left="-108" w:right="-108"/>
              <w:jc w:val="center"/>
              <w:rPr>
                <w:rFonts w:ascii="Arial" w:hAnsi="Arial" w:cs="Arial"/>
                <w:b/>
                <w:i/>
                <w:sz w:val="22"/>
                <w:szCs w:val="22"/>
                <w:vertAlign w:val="superscript"/>
              </w:rPr>
            </w:pPr>
            <w:r>
              <w:rPr>
                <w:rFonts w:ascii="Arial" w:hAnsi="Arial" w:cs="Arial"/>
                <w:b/>
                <w:i/>
                <w:sz w:val="22"/>
                <w:szCs w:val="22"/>
              </w:rPr>
              <w:t>1</w:t>
            </w:r>
            <w:r>
              <w:rPr>
                <w:rFonts w:ascii="Arial" w:hAnsi="Arial" w:cs="Arial"/>
                <w:b/>
                <w:i/>
                <w:sz w:val="22"/>
                <w:szCs w:val="22"/>
                <w:vertAlign w:val="superscript"/>
              </w:rPr>
              <w:t>a</w:t>
            </w:r>
          </w:p>
        </w:tc>
        <w:tc>
          <w:tcPr>
            <w:tcW w:w="4501" w:type="dxa"/>
            <w:tcBorders>
              <w:top w:val="single" w:sz="6" w:space="0" w:color="auto"/>
              <w:left w:val="single" w:sz="6" w:space="0" w:color="auto"/>
              <w:bottom w:val="single" w:sz="6" w:space="0" w:color="auto"/>
              <w:right w:val="single" w:sz="4" w:space="0" w:color="auto"/>
            </w:tcBorders>
            <w:shd w:val="clear" w:color="auto" w:fill="auto"/>
          </w:tcPr>
          <w:p w:rsidR="00CC7791" w:rsidRPr="00A575CE" w:rsidRDefault="00EF5B45" w:rsidP="00EF5B45">
            <w:pPr>
              <w:ind w:right="-143"/>
              <w:jc w:val="both"/>
              <w:rPr>
                <w:szCs w:val="24"/>
              </w:rPr>
            </w:pPr>
            <w:r>
              <w:rPr>
                <w:szCs w:val="24"/>
              </w:rPr>
              <w:t>28.01.14 sui presupposti: parere favorevole</w:t>
            </w:r>
          </w:p>
        </w:tc>
      </w:tr>
      <w:tr w:rsidR="006E3157" w:rsidRPr="00A575CE" w:rsidTr="00EB0591">
        <w:tc>
          <w:tcPr>
            <w:tcW w:w="1560" w:type="dxa"/>
            <w:tcBorders>
              <w:top w:val="nil"/>
              <w:left w:val="nil"/>
              <w:bottom w:val="nil"/>
              <w:right w:val="nil"/>
            </w:tcBorders>
          </w:tcPr>
          <w:p w:rsidR="006E3157" w:rsidRPr="00423903" w:rsidRDefault="006E3157" w:rsidP="00074FED">
            <w:pPr>
              <w:ind w:right="34"/>
              <w:jc w:val="both"/>
              <w:rPr>
                <w:rFonts w:ascii="Arial" w:hAnsi="Arial" w:cs="Arial"/>
                <w:b/>
                <w:i/>
                <w:sz w:val="22"/>
                <w:szCs w:val="22"/>
              </w:rPr>
            </w:pPr>
            <w:r w:rsidRPr="00423903">
              <w:rPr>
                <w:rFonts w:ascii="Arial" w:hAnsi="Arial" w:cs="Arial"/>
                <w:b/>
                <w:i/>
                <w:sz w:val="22"/>
                <w:szCs w:val="22"/>
              </w:rPr>
              <w:t>Sede</w:t>
            </w:r>
          </w:p>
        </w:tc>
        <w:tc>
          <w:tcPr>
            <w:tcW w:w="3685" w:type="dxa"/>
            <w:tcBorders>
              <w:top w:val="nil"/>
              <w:left w:val="nil"/>
              <w:bottom w:val="nil"/>
              <w:right w:val="single" w:sz="4" w:space="0" w:color="auto"/>
            </w:tcBorders>
          </w:tcPr>
          <w:p w:rsidR="006E3157" w:rsidRPr="00423903" w:rsidRDefault="00EF5B45" w:rsidP="00074FED">
            <w:pPr>
              <w:ind w:right="432"/>
              <w:jc w:val="both"/>
              <w:rPr>
                <w:szCs w:val="24"/>
              </w:rPr>
            </w:pPr>
            <w:r>
              <w:rPr>
                <w:szCs w:val="24"/>
              </w:rPr>
              <w:t xml:space="preserve">Referente </w:t>
            </w:r>
          </w:p>
        </w:tc>
        <w:tc>
          <w:tcPr>
            <w:tcW w:w="284" w:type="dxa"/>
            <w:tcBorders>
              <w:top w:val="single" w:sz="6" w:space="0" w:color="auto"/>
              <w:left w:val="single" w:sz="4" w:space="0" w:color="auto"/>
              <w:bottom w:val="single" w:sz="6" w:space="0" w:color="auto"/>
              <w:right w:val="single" w:sz="6" w:space="0" w:color="auto"/>
            </w:tcBorders>
            <w:shd w:val="clear" w:color="auto" w:fill="auto"/>
          </w:tcPr>
          <w:p w:rsidR="006E3157" w:rsidRPr="00B06027" w:rsidRDefault="006E3157" w:rsidP="00B645C3">
            <w:pPr>
              <w:ind w:left="-108" w:right="-108"/>
              <w:jc w:val="center"/>
              <w:rPr>
                <w:rFonts w:ascii="Arial" w:hAnsi="Arial" w:cs="Arial"/>
                <w:b/>
                <w:i/>
                <w:sz w:val="22"/>
                <w:szCs w:val="22"/>
                <w:vertAlign w:val="superscript"/>
              </w:rPr>
            </w:pPr>
            <w:r>
              <w:rPr>
                <w:rFonts w:ascii="Arial" w:hAnsi="Arial" w:cs="Arial"/>
                <w:b/>
                <w:i/>
                <w:sz w:val="22"/>
                <w:szCs w:val="22"/>
              </w:rPr>
              <w:t>5</w:t>
            </w:r>
            <w:r>
              <w:rPr>
                <w:rFonts w:ascii="Arial" w:hAnsi="Arial" w:cs="Arial"/>
                <w:b/>
                <w:i/>
                <w:sz w:val="22"/>
                <w:szCs w:val="22"/>
                <w:vertAlign w:val="superscript"/>
              </w:rPr>
              <w:t>a</w:t>
            </w:r>
          </w:p>
        </w:tc>
        <w:tc>
          <w:tcPr>
            <w:tcW w:w="4501" w:type="dxa"/>
            <w:tcBorders>
              <w:top w:val="single" w:sz="6" w:space="0" w:color="auto"/>
              <w:left w:val="single" w:sz="6" w:space="0" w:color="auto"/>
              <w:bottom w:val="single" w:sz="6" w:space="0" w:color="auto"/>
              <w:right w:val="single" w:sz="4" w:space="0" w:color="auto"/>
            </w:tcBorders>
            <w:shd w:val="clear" w:color="auto" w:fill="auto"/>
          </w:tcPr>
          <w:p w:rsidR="006E3157" w:rsidRPr="00A575CE" w:rsidRDefault="006E3157" w:rsidP="00074FED">
            <w:pPr>
              <w:ind w:right="432"/>
              <w:jc w:val="both"/>
              <w:rPr>
                <w:szCs w:val="24"/>
              </w:rPr>
            </w:pPr>
          </w:p>
        </w:tc>
      </w:tr>
      <w:tr w:rsidR="00CC7791" w:rsidRPr="00A575CE" w:rsidTr="00EB0591">
        <w:tc>
          <w:tcPr>
            <w:tcW w:w="5245" w:type="dxa"/>
            <w:gridSpan w:val="2"/>
            <w:tcBorders>
              <w:top w:val="nil"/>
              <w:left w:val="nil"/>
              <w:bottom w:val="nil"/>
              <w:right w:val="single" w:sz="4" w:space="0" w:color="auto"/>
            </w:tcBorders>
          </w:tcPr>
          <w:p w:rsidR="00CC7791" w:rsidRPr="00F74C24" w:rsidRDefault="00CC7791" w:rsidP="00074FED">
            <w:pPr>
              <w:ind w:right="432"/>
              <w:jc w:val="both"/>
              <w:rPr>
                <w:b/>
                <w:i/>
                <w:szCs w:val="24"/>
              </w:rPr>
            </w:pPr>
            <w:r w:rsidRPr="00423903">
              <w:rPr>
                <w:rFonts w:ascii="Arial" w:hAnsi="Arial" w:cs="Arial"/>
                <w:b/>
                <w:i/>
                <w:sz w:val="22"/>
                <w:szCs w:val="22"/>
              </w:rPr>
              <w:t xml:space="preserve">Legge </w:t>
            </w:r>
            <w:r w:rsidRPr="00F74C24">
              <w:rPr>
                <w:b/>
                <w:i/>
                <w:szCs w:val="24"/>
              </w:rPr>
              <w:t xml:space="preserve">                   </w:t>
            </w:r>
            <w:r w:rsidRPr="00423903">
              <w:rPr>
                <w:rFonts w:ascii="Arial" w:hAnsi="Arial" w:cs="Arial"/>
                <w:b/>
                <w:i/>
                <w:sz w:val="22"/>
                <w:szCs w:val="22"/>
              </w:rPr>
              <w:t>G.U.</w:t>
            </w:r>
          </w:p>
        </w:tc>
        <w:tc>
          <w:tcPr>
            <w:tcW w:w="284" w:type="dxa"/>
            <w:tcBorders>
              <w:top w:val="single" w:sz="6" w:space="0" w:color="auto"/>
              <w:left w:val="single" w:sz="4" w:space="0" w:color="auto"/>
              <w:bottom w:val="single" w:sz="4" w:space="0" w:color="auto"/>
              <w:right w:val="single" w:sz="6" w:space="0" w:color="auto"/>
            </w:tcBorders>
            <w:shd w:val="clear" w:color="auto" w:fill="auto"/>
          </w:tcPr>
          <w:p w:rsidR="00CC7791" w:rsidRPr="004A3801" w:rsidRDefault="00CC7791" w:rsidP="00074FED">
            <w:pPr>
              <w:ind w:left="-108" w:right="-108"/>
              <w:jc w:val="center"/>
              <w:rPr>
                <w:rFonts w:ascii="Arial" w:hAnsi="Arial" w:cs="Arial"/>
                <w:b/>
                <w:i/>
                <w:sz w:val="22"/>
                <w:szCs w:val="22"/>
              </w:rPr>
            </w:pPr>
          </w:p>
        </w:tc>
        <w:tc>
          <w:tcPr>
            <w:tcW w:w="4501" w:type="dxa"/>
            <w:tcBorders>
              <w:top w:val="single" w:sz="6" w:space="0" w:color="auto"/>
              <w:left w:val="single" w:sz="6" w:space="0" w:color="auto"/>
              <w:bottom w:val="single" w:sz="4" w:space="0" w:color="auto"/>
              <w:right w:val="single" w:sz="4" w:space="0" w:color="auto"/>
            </w:tcBorders>
            <w:shd w:val="clear" w:color="auto" w:fill="auto"/>
          </w:tcPr>
          <w:p w:rsidR="00CC7791" w:rsidRPr="00A575CE" w:rsidRDefault="00CC7791" w:rsidP="00074FED">
            <w:pPr>
              <w:ind w:right="432"/>
              <w:jc w:val="both"/>
              <w:rPr>
                <w:szCs w:val="24"/>
              </w:rPr>
            </w:pPr>
          </w:p>
        </w:tc>
      </w:tr>
    </w:tbl>
    <w:p w:rsidR="00E02AE7" w:rsidRPr="00A575CE" w:rsidRDefault="00E02AE7" w:rsidP="00074FED">
      <w:pPr>
        <w:ind w:left="360" w:right="432"/>
        <w:jc w:val="both"/>
        <w:rPr>
          <w:szCs w:val="24"/>
        </w:rPr>
      </w:pPr>
    </w:p>
    <w:tbl>
      <w:tblPr>
        <w:tblStyle w:val="Grigliatabella"/>
        <w:tblW w:w="10042" w:type="dxa"/>
        <w:tblInd w:w="-436" w:type="dxa"/>
        <w:tblLook w:val="01E0"/>
      </w:tblPr>
      <w:tblGrid>
        <w:gridCol w:w="3457"/>
        <w:gridCol w:w="3324"/>
        <w:gridCol w:w="3261"/>
      </w:tblGrid>
      <w:tr w:rsidR="006116A6" w:rsidRPr="00A575CE">
        <w:tc>
          <w:tcPr>
            <w:tcW w:w="10042" w:type="dxa"/>
            <w:gridSpan w:val="3"/>
            <w:tcBorders>
              <w:top w:val="nil"/>
              <w:left w:val="nil"/>
              <w:bottom w:val="single" w:sz="4" w:space="0" w:color="auto"/>
              <w:right w:val="nil"/>
            </w:tcBorders>
          </w:tcPr>
          <w:p w:rsidR="006116A6" w:rsidRPr="00F74C24" w:rsidRDefault="006116A6" w:rsidP="00074FED">
            <w:pPr>
              <w:ind w:right="34"/>
              <w:jc w:val="center"/>
              <w:rPr>
                <w:i/>
                <w:szCs w:val="24"/>
              </w:rPr>
            </w:pPr>
            <w:r w:rsidRPr="00423903">
              <w:rPr>
                <w:rFonts w:ascii="Arial" w:hAnsi="Arial" w:cs="Arial"/>
                <w:b/>
                <w:i/>
                <w:sz w:val="22"/>
                <w:szCs w:val="22"/>
              </w:rPr>
              <w:t>Senatori intervenuti nel dibattito</w:t>
            </w:r>
          </w:p>
        </w:tc>
      </w:tr>
      <w:tr w:rsidR="006116A6" w:rsidRPr="00A575CE">
        <w:trPr>
          <w:trHeight w:val="542"/>
        </w:trPr>
        <w:tc>
          <w:tcPr>
            <w:tcW w:w="3457" w:type="dxa"/>
            <w:tcBorders>
              <w:top w:val="single" w:sz="4" w:space="0" w:color="auto"/>
              <w:left w:val="single" w:sz="4" w:space="0" w:color="auto"/>
              <w:bottom w:val="single" w:sz="4" w:space="0" w:color="auto"/>
              <w:right w:val="single" w:sz="4" w:space="0" w:color="auto"/>
            </w:tcBorders>
          </w:tcPr>
          <w:p w:rsidR="00A5744B" w:rsidRPr="00A575CE" w:rsidRDefault="00A5744B" w:rsidP="00074FED">
            <w:pPr>
              <w:numPr>
                <w:ilvl w:val="0"/>
                <w:numId w:val="1"/>
              </w:numPr>
              <w:tabs>
                <w:tab w:val="clear" w:pos="720"/>
              </w:tabs>
              <w:ind w:left="318" w:right="-34" w:hanging="318"/>
              <w:jc w:val="both"/>
              <w:rPr>
                <w:szCs w:val="24"/>
              </w:rPr>
            </w:pPr>
          </w:p>
        </w:tc>
        <w:tc>
          <w:tcPr>
            <w:tcW w:w="3324" w:type="dxa"/>
            <w:tcBorders>
              <w:top w:val="single" w:sz="4" w:space="0" w:color="auto"/>
              <w:left w:val="single" w:sz="4" w:space="0" w:color="auto"/>
              <w:bottom w:val="single" w:sz="4" w:space="0" w:color="auto"/>
              <w:right w:val="single" w:sz="4" w:space="0" w:color="auto"/>
            </w:tcBorders>
          </w:tcPr>
          <w:p w:rsidR="006116A6" w:rsidRPr="00A575CE" w:rsidRDefault="006116A6" w:rsidP="00880B6F">
            <w:pPr>
              <w:numPr>
                <w:ilvl w:val="0"/>
                <w:numId w:val="1"/>
              </w:numPr>
              <w:tabs>
                <w:tab w:val="clear" w:pos="720"/>
              </w:tabs>
              <w:ind w:left="318" w:right="-108" w:hanging="318"/>
              <w:jc w:val="both"/>
              <w:rPr>
                <w:szCs w:val="24"/>
              </w:rPr>
            </w:pPr>
          </w:p>
        </w:tc>
        <w:tc>
          <w:tcPr>
            <w:tcW w:w="3261" w:type="dxa"/>
            <w:tcBorders>
              <w:top w:val="single" w:sz="4" w:space="0" w:color="auto"/>
              <w:left w:val="single" w:sz="4" w:space="0" w:color="auto"/>
              <w:bottom w:val="single" w:sz="4" w:space="0" w:color="auto"/>
              <w:right w:val="single" w:sz="4" w:space="0" w:color="auto"/>
            </w:tcBorders>
          </w:tcPr>
          <w:p w:rsidR="007A4B5A" w:rsidRPr="00A575CE" w:rsidRDefault="007A4B5A" w:rsidP="00074FED">
            <w:pPr>
              <w:numPr>
                <w:ilvl w:val="0"/>
                <w:numId w:val="1"/>
              </w:numPr>
              <w:ind w:left="318" w:right="850" w:hanging="318"/>
              <w:jc w:val="both"/>
              <w:rPr>
                <w:szCs w:val="24"/>
              </w:rPr>
            </w:pPr>
          </w:p>
        </w:tc>
      </w:tr>
    </w:tbl>
    <w:p w:rsidR="00B55573" w:rsidRPr="00A575CE" w:rsidRDefault="00B55573" w:rsidP="00074FED">
      <w:pPr>
        <w:ind w:right="432"/>
        <w:jc w:val="both"/>
        <w:rPr>
          <w:b/>
          <w:szCs w:val="24"/>
        </w:rPr>
      </w:pPr>
    </w:p>
    <w:p w:rsidR="00B64C3A" w:rsidRPr="00F74C24" w:rsidRDefault="00B64C3A" w:rsidP="00074FED">
      <w:pPr>
        <w:ind w:left="-567" w:right="-1"/>
        <w:jc w:val="both"/>
        <w:rPr>
          <w:b/>
          <w:szCs w:val="24"/>
        </w:rPr>
      </w:pPr>
    </w:p>
    <w:p w:rsidR="004C2993" w:rsidRPr="004D313C" w:rsidRDefault="00235730" w:rsidP="00074FED">
      <w:pPr>
        <w:ind w:left="-567" w:right="34"/>
        <w:jc w:val="both"/>
        <w:rPr>
          <w:rFonts w:ascii="Arial" w:hAnsi="Arial" w:cs="Arial"/>
          <w:b/>
          <w:i/>
          <w:sz w:val="22"/>
          <w:szCs w:val="22"/>
          <w:u w:val="single"/>
        </w:rPr>
      </w:pPr>
      <w:r w:rsidRPr="004D313C">
        <w:rPr>
          <w:rFonts w:ascii="Arial" w:hAnsi="Arial" w:cs="Arial"/>
          <w:b/>
          <w:i/>
          <w:sz w:val="22"/>
          <w:szCs w:val="22"/>
          <w:u w:val="single"/>
        </w:rPr>
        <w:t>Interventi</w:t>
      </w:r>
      <w:r w:rsidR="004C2993" w:rsidRPr="004D313C">
        <w:rPr>
          <w:rFonts w:ascii="Arial" w:hAnsi="Arial" w:cs="Arial"/>
          <w:b/>
          <w:i/>
          <w:sz w:val="22"/>
          <w:szCs w:val="22"/>
          <w:u w:val="single"/>
        </w:rPr>
        <w:t xml:space="preserve"> in Commissione </w:t>
      </w:r>
    </w:p>
    <w:p w:rsidR="004C2993" w:rsidRPr="00A575CE" w:rsidRDefault="004C2993" w:rsidP="00074FED">
      <w:pPr>
        <w:ind w:left="-567" w:right="-1"/>
        <w:jc w:val="both"/>
        <w:rPr>
          <w:b/>
          <w:i/>
          <w:szCs w:val="24"/>
        </w:rPr>
      </w:pPr>
    </w:p>
    <w:p w:rsidR="001819EC" w:rsidRDefault="008B180A">
      <w:pPr>
        <w:pStyle w:val="Sommario1"/>
        <w:rPr>
          <w:rFonts w:asciiTheme="minorHAnsi" w:eastAsiaTheme="minorEastAsia" w:hAnsiTheme="minorHAnsi" w:cstheme="minorBidi"/>
          <w:noProof/>
          <w:sz w:val="22"/>
          <w:szCs w:val="22"/>
        </w:rPr>
      </w:pPr>
      <w:r w:rsidRPr="000A61A2">
        <w:rPr>
          <w:i/>
        </w:rPr>
        <w:fldChar w:fldCharType="begin"/>
      </w:r>
      <w:r w:rsidR="004C2993" w:rsidRPr="000A61A2">
        <w:rPr>
          <w:i/>
        </w:rPr>
        <w:instrText xml:space="preserve"> TOC \o "1-2" \h \z \u </w:instrText>
      </w:r>
      <w:r w:rsidRPr="000A61A2">
        <w:rPr>
          <w:i/>
        </w:rPr>
        <w:fldChar w:fldCharType="separate"/>
      </w:r>
      <w:hyperlink w:anchor="_Toc378836549" w:history="1">
        <w:r w:rsidR="001819EC" w:rsidRPr="00CB127E">
          <w:rPr>
            <w:rStyle w:val="Collegamentoipertestuale"/>
            <w:noProof/>
          </w:rPr>
          <w:t>29 GENNAIO 2014 (Relazione)</w:t>
        </w:r>
        <w:r w:rsidR="001819EC">
          <w:rPr>
            <w:noProof/>
            <w:webHidden/>
          </w:rPr>
          <w:tab/>
        </w:r>
        <w:r w:rsidR="001819EC">
          <w:rPr>
            <w:noProof/>
            <w:webHidden/>
          </w:rPr>
          <w:fldChar w:fldCharType="begin"/>
        </w:r>
        <w:r w:rsidR="001819EC">
          <w:rPr>
            <w:noProof/>
            <w:webHidden/>
          </w:rPr>
          <w:instrText xml:space="preserve"> PAGEREF _Toc378836549 \h </w:instrText>
        </w:r>
        <w:r w:rsidR="001819EC">
          <w:rPr>
            <w:noProof/>
            <w:webHidden/>
          </w:rPr>
        </w:r>
        <w:r w:rsidR="001819EC">
          <w:rPr>
            <w:noProof/>
            <w:webHidden/>
          </w:rPr>
          <w:fldChar w:fldCharType="separate"/>
        </w:r>
        <w:r w:rsidR="001819EC">
          <w:rPr>
            <w:noProof/>
            <w:webHidden/>
          </w:rPr>
          <w:t>2</w:t>
        </w:r>
        <w:r w:rsidR="001819EC">
          <w:rPr>
            <w:noProof/>
            <w:webHidden/>
          </w:rPr>
          <w:fldChar w:fldCharType="end"/>
        </w:r>
      </w:hyperlink>
    </w:p>
    <w:p w:rsidR="004C2993" w:rsidRPr="00472EB5" w:rsidRDefault="008B180A" w:rsidP="00074FED">
      <w:pPr>
        <w:ind w:left="-567" w:right="-1"/>
        <w:jc w:val="both"/>
        <w:rPr>
          <w:i/>
        </w:rPr>
      </w:pPr>
      <w:r w:rsidRPr="000A61A2">
        <w:rPr>
          <w:i/>
          <w:szCs w:val="24"/>
        </w:rPr>
        <w:fldChar w:fldCharType="end"/>
      </w:r>
    </w:p>
    <w:p w:rsidR="004C2993" w:rsidRPr="00472EB5" w:rsidRDefault="004C2993" w:rsidP="00074FED">
      <w:pPr>
        <w:ind w:right="432"/>
        <w:jc w:val="both"/>
        <w:rPr>
          <w:i/>
        </w:rPr>
      </w:pPr>
    </w:p>
    <w:p w:rsidR="00E019B8" w:rsidRDefault="00E019B8" w:rsidP="00074FED">
      <w:pPr>
        <w:jc w:val="both"/>
      </w:pPr>
    </w:p>
    <w:p w:rsidR="006E3157" w:rsidRDefault="00E672CC" w:rsidP="006E3157">
      <w:pPr>
        <w:pStyle w:val="Titolo1"/>
        <w:rPr>
          <w:color w:val="000000"/>
          <w:sz w:val="22"/>
          <w:szCs w:val="22"/>
        </w:rPr>
      </w:pPr>
      <w:r>
        <w:br w:type="page"/>
      </w:r>
    </w:p>
    <w:p w:rsidR="006E3157" w:rsidRDefault="006E3157" w:rsidP="006E3157">
      <w:pPr>
        <w:autoSpaceDE w:val="0"/>
        <w:autoSpaceDN w:val="0"/>
        <w:adjustRightInd w:val="0"/>
        <w:spacing w:line="360" w:lineRule="auto"/>
        <w:jc w:val="center"/>
        <w:rPr>
          <w:color w:val="000000"/>
          <w:sz w:val="22"/>
          <w:szCs w:val="22"/>
        </w:rPr>
      </w:pPr>
      <w:r>
        <w:rPr>
          <w:color w:val="000000"/>
          <w:sz w:val="22"/>
          <w:szCs w:val="22"/>
        </w:rPr>
        <w:lastRenderedPageBreak/>
        <w:t xml:space="preserve"> </w:t>
      </w:r>
    </w:p>
    <w:p w:rsidR="001819EC" w:rsidRDefault="001819EC" w:rsidP="001819EC">
      <w:pPr>
        <w:pStyle w:val="Titolo1"/>
      </w:pPr>
      <w:bookmarkStart w:id="0" w:name="_Toc378836549"/>
      <w:r>
        <w:t>29 GENNAIO 2014 (Relazione)</w:t>
      </w:r>
      <w:bookmarkEnd w:id="0"/>
    </w:p>
    <w:p w:rsidR="001819EC" w:rsidRDefault="001819EC" w:rsidP="001819EC">
      <w:pPr>
        <w:autoSpaceDE w:val="0"/>
        <w:autoSpaceDN w:val="0"/>
        <w:adjustRightInd w:val="0"/>
        <w:jc w:val="center"/>
        <w:rPr>
          <w:color w:val="000000"/>
        </w:rPr>
      </w:pPr>
      <w:r>
        <w:rPr>
          <w:b/>
          <w:bCs/>
          <w:color w:val="000000"/>
        </w:rPr>
        <w:t>65ª Seduta</w:t>
      </w:r>
      <w:r>
        <w:rPr>
          <w:color w:val="000000"/>
        </w:rPr>
        <w:t xml:space="preserve"> </w:t>
      </w:r>
    </w:p>
    <w:p w:rsidR="001819EC" w:rsidRDefault="001819EC" w:rsidP="001819EC">
      <w:pPr>
        <w:autoSpaceDE w:val="0"/>
        <w:autoSpaceDN w:val="0"/>
        <w:adjustRightInd w:val="0"/>
        <w:jc w:val="center"/>
        <w:rPr>
          <w:color w:val="000000"/>
        </w:rPr>
      </w:pPr>
      <w:r>
        <w:rPr>
          <w:color w:val="000000"/>
        </w:rPr>
        <w:t xml:space="preserve"> </w:t>
      </w:r>
      <w:r>
        <w:rPr>
          <w:i/>
          <w:iCs/>
          <w:color w:val="000000"/>
        </w:rPr>
        <w:t>Presidenza del Presidente</w:t>
      </w:r>
      <w:r>
        <w:rPr>
          <w:color w:val="000000"/>
        </w:rPr>
        <w:t xml:space="preserve"> </w:t>
      </w:r>
    </w:p>
    <w:p w:rsidR="001819EC" w:rsidRDefault="001819EC" w:rsidP="001819EC">
      <w:pPr>
        <w:autoSpaceDE w:val="0"/>
        <w:autoSpaceDN w:val="0"/>
        <w:adjustRightInd w:val="0"/>
        <w:jc w:val="center"/>
        <w:rPr>
          <w:color w:val="000000"/>
        </w:rPr>
      </w:pPr>
      <w:r>
        <w:rPr>
          <w:color w:val="000000"/>
        </w:rPr>
        <w:t xml:space="preserve">MARCUCCI  </w:t>
      </w:r>
    </w:p>
    <w:p w:rsidR="001819EC" w:rsidRDefault="001819EC" w:rsidP="001819EC">
      <w:pPr>
        <w:autoSpaceDE w:val="0"/>
        <w:autoSpaceDN w:val="0"/>
        <w:adjustRightInd w:val="0"/>
        <w:jc w:val="center"/>
        <w:rPr>
          <w:color w:val="000000"/>
        </w:rPr>
      </w:pPr>
      <w:r>
        <w:rPr>
          <w:color w:val="000000"/>
        </w:rPr>
        <w:t xml:space="preserve"> </w:t>
      </w:r>
    </w:p>
    <w:p w:rsidR="001819EC" w:rsidRDefault="001819EC" w:rsidP="001819EC">
      <w:pPr>
        <w:autoSpaceDE w:val="0"/>
        <w:autoSpaceDN w:val="0"/>
        <w:adjustRightInd w:val="0"/>
        <w:jc w:val="both"/>
        <w:rPr>
          <w:color w:val="000000"/>
        </w:rPr>
      </w:pPr>
      <w:r>
        <w:rPr>
          <w:i/>
          <w:iCs/>
          <w:color w:val="000000"/>
        </w:rPr>
        <w:tab/>
        <w:t>Intervengono i sottosegretari di Stato per l'istruzione, l'università e la ricerca Galletti e per i beni e le attività culturali e per il turismo Simonetta Giordani.</w:t>
      </w:r>
      <w:r>
        <w:rPr>
          <w:color w:val="000000"/>
        </w:rPr>
        <w:t xml:space="preserve">                                                     </w:t>
      </w:r>
    </w:p>
    <w:p w:rsidR="001819EC" w:rsidRDefault="001819EC" w:rsidP="001819EC">
      <w:pPr>
        <w:autoSpaceDE w:val="0"/>
        <w:autoSpaceDN w:val="0"/>
        <w:adjustRightInd w:val="0"/>
        <w:jc w:val="both"/>
        <w:rPr>
          <w:color w:val="000000"/>
        </w:rPr>
      </w:pPr>
    </w:p>
    <w:p w:rsidR="001819EC" w:rsidRDefault="001819EC" w:rsidP="001819EC">
      <w:pPr>
        <w:autoSpaceDE w:val="0"/>
        <w:autoSpaceDN w:val="0"/>
        <w:adjustRightInd w:val="0"/>
        <w:jc w:val="both"/>
        <w:rPr>
          <w:color w:val="000000"/>
        </w:rPr>
      </w:pPr>
      <w:r>
        <w:rPr>
          <w:i/>
          <w:iCs/>
          <w:color w:val="000000"/>
        </w:rPr>
        <w:t>IN SEDE REFERENTE</w:t>
      </w:r>
      <w:r>
        <w:rPr>
          <w:color w:val="000000"/>
        </w:rPr>
        <w:t xml:space="preserve">  </w:t>
      </w:r>
    </w:p>
    <w:p w:rsidR="001819EC" w:rsidRDefault="001819EC" w:rsidP="001819EC">
      <w:pPr>
        <w:autoSpaceDE w:val="0"/>
        <w:autoSpaceDN w:val="0"/>
        <w:adjustRightInd w:val="0"/>
        <w:jc w:val="both"/>
        <w:rPr>
          <w:color w:val="000000"/>
        </w:rPr>
      </w:pPr>
      <w:r>
        <w:rPr>
          <w:b/>
          <w:bCs/>
          <w:color w:val="000000"/>
        </w:rPr>
        <w:t>(1254)</w:t>
      </w:r>
      <w:r>
        <w:rPr>
          <w:color w:val="000000"/>
        </w:rPr>
        <w:t xml:space="preserve"> </w:t>
      </w:r>
      <w:r>
        <w:rPr>
          <w:b/>
          <w:bCs/>
          <w:i/>
          <w:iCs/>
          <w:color w:val="000000"/>
        </w:rPr>
        <w:t>Conversione in legge del decreto-legge 23 gennaio 2014, n. 3, recante disposizioni temporanee e urgenti in materia di proroga degli automatismi stipendiali del personale della scuola</w:t>
      </w:r>
      <w:r>
        <w:rPr>
          <w:color w:val="000000"/>
        </w:rPr>
        <w:t xml:space="preserve">  </w:t>
      </w:r>
    </w:p>
    <w:p w:rsidR="001819EC" w:rsidRDefault="001819EC" w:rsidP="001819EC">
      <w:pPr>
        <w:autoSpaceDE w:val="0"/>
        <w:autoSpaceDN w:val="0"/>
        <w:adjustRightInd w:val="0"/>
        <w:rPr>
          <w:color w:val="000000"/>
        </w:rPr>
      </w:pPr>
      <w:r>
        <w:rPr>
          <w:color w:val="000000"/>
        </w:rPr>
        <w:t xml:space="preserve">(Esame e rinvio) </w:t>
      </w:r>
    </w:p>
    <w:p w:rsidR="001819EC" w:rsidRDefault="001819EC" w:rsidP="001819EC">
      <w:pPr>
        <w:autoSpaceDE w:val="0"/>
        <w:autoSpaceDN w:val="0"/>
        <w:adjustRightInd w:val="0"/>
        <w:jc w:val="both"/>
        <w:rPr>
          <w:color w:val="000000"/>
        </w:rPr>
      </w:pPr>
      <w:r>
        <w:rPr>
          <w:color w:val="000000"/>
        </w:rPr>
        <w:t xml:space="preserve"> </w:t>
      </w:r>
    </w:p>
    <w:p w:rsidR="001819EC" w:rsidRDefault="001819EC" w:rsidP="001819EC">
      <w:pPr>
        <w:autoSpaceDE w:val="0"/>
        <w:autoSpaceDN w:val="0"/>
        <w:adjustRightInd w:val="0"/>
        <w:jc w:val="both"/>
        <w:rPr>
          <w:color w:val="000000"/>
        </w:rPr>
      </w:pPr>
      <w:r>
        <w:rPr>
          <w:color w:val="000000"/>
        </w:rPr>
        <w:tab/>
        <w:t>La relatrice PUGLISI (</w:t>
      </w:r>
      <w:r>
        <w:rPr>
          <w:i/>
          <w:iCs/>
          <w:color w:val="000000"/>
        </w:rPr>
        <w:t>PD</w:t>
      </w:r>
      <w:r>
        <w:rPr>
          <w:color w:val="000000"/>
        </w:rPr>
        <w:t xml:space="preserve">) illustra il provvedimento, sottolineando che esso ha l'intento di far chiarezza e rimediare ad un errore burocratico generato, a suo avviso, dal modo contraddittorio con cui si è </w:t>
      </w:r>
      <w:proofErr w:type="spellStart"/>
      <w:r>
        <w:rPr>
          <w:color w:val="000000"/>
        </w:rPr>
        <w:t>normato</w:t>
      </w:r>
      <w:proofErr w:type="spellEnd"/>
      <w:r>
        <w:rPr>
          <w:color w:val="000000"/>
        </w:rPr>
        <w:t xml:space="preserve"> negli anni, vessando il personale scolastico. Rammenta infatti che l'articolo 9, comma 1, del decreto-legge n. 78 del 2010 ha disposto il blocco degli automatismi stipendiali per gli anni 2011, 2012 e 2013 per tutto il personale dipendente delle pubbliche amministrazioni inserite nell'elenco ISTAT. Per questi anni dunque, la retribuzione del personale dipendente delle amministrazioni pubbliche non poteva essere superiore a quello percepito nel 2010. Con riferimento al personale della scuola, il medesimo decreto-legge n. 78, all'articolo 9, comma 23, aveva previsto un blocco per gli anni 2010, 2011 e 2012, con una progressione temporale parzialmente diversa rispetto al resto dei dipendenti pubblici. </w:t>
      </w:r>
    </w:p>
    <w:p w:rsidR="001819EC" w:rsidRDefault="001819EC" w:rsidP="001819EC">
      <w:pPr>
        <w:autoSpaceDE w:val="0"/>
        <w:autoSpaceDN w:val="0"/>
        <w:adjustRightInd w:val="0"/>
        <w:ind w:firstLine="720"/>
        <w:jc w:val="both"/>
        <w:rPr>
          <w:color w:val="000000"/>
        </w:rPr>
      </w:pPr>
      <w:r>
        <w:rPr>
          <w:color w:val="000000"/>
        </w:rPr>
        <w:t>Il successivo decreto-legge n. 98 del 2011 ha disposto che il blocco poteva essere prorogato di un ulteriore anno con decreto del Presidente della Repubblica, cosa che poi è puntualmente accaduta con il decreto del Presidente della Repubblica n. 122 del 4 settembre 2013, che ha rappresentato a suo giudizio la vera causa della incresciosa vicenda relativa agli scatti della scuola. Precisa infatti che, mentre per tutto il personale dipendente delle pubbliche amministrazioni, il summenzionato decreto n. 122 del 2013 ha prorogato il blocco per un anno (2014) ancora da iniziare, per il personale della scuola il blocco ha avuto invece un effetto retroattivo, dal momento che riguardava l'anno 2013, non solo già iniziato ma addirittura quasi concluso, nel corso del quale il personale della scuola aveva percepito gli scatti del tutto legittimamente e in assoluta buona fede.</w:t>
      </w:r>
    </w:p>
    <w:p w:rsidR="001819EC" w:rsidRDefault="001819EC" w:rsidP="001819EC">
      <w:pPr>
        <w:autoSpaceDE w:val="0"/>
        <w:autoSpaceDN w:val="0"/>
        <w:adjustRightInd w:val="0"/>
        <w:ind w:firstLine="720"/>
        <w:jc w:val="both"/>
        <w:rPr>
          <w:color w:val="000000"/>
        </w:rPr>
      </w:pPr>
      <w:r>
        <w:rPr>
          <w:color w:val="000000"/>
        </w:rPr>
        <w:t>Ricorda inoltre che sullo schema di decreto, che poi è sfociato nel decreto n. 122, la Commissione era stata coinvolta in fase consultiva, ed aveva espresso osservazioni contrarie alla 1</w:t>
      </w:r>
      <w:r>
        <w:rPr>
          <w:color w:val="000000"/>
          <w:vertAlign w:val="superscript"/>
        </w:rPr>
        <w:t>a</w:t>
      </w:r>
      <w:r>
        <w:rPr>
          <w:color w:val="000000"/>
        </w:rPr>
        <w:t xml:space="preserve"> Commissione, competente nel merito.</w:t>
      </w:r>
    </w:p>
    <w:p w:rsidR="001819EC" w:rsidRDefault="001819EC" w:rsidP="001819EC">
      <w:pPr>
        <w:autoSpaceDE w:val="0"/>
        <w:autoSpaceDN w:val="0"/>
        <w:adjustRightInd w:val="0"/>
        <w:ind w:firstLine="720"/>
        <w:jc w:val="both"/>
        <w:rPr>
          <w:color w:val="000000"/>
        </w:rPr>
      </w:pPr>
      <w:r>
        <w:rPr>
          <w:color w:val="000000"/>
        </w:rPr>
        <w:t xml:space="preserve">Non va poi dimenticato - prosegue la relatrice - che il decreto-legge n. 112 del 2008, disponendo una pesantissima opera di razionalizzazione della spesa scolastica, aveva disposto che il 30 per cento dei "cosiddetti" risparmi dovessero essere reinvestiti nella scuola. L'articolo 8, comma 14, del decreto-legge 78 del 2010 aveva quindi previsto che queste somme potessero essere utilizzate per il recupero degli scatti stipendiali bloccati e così è stato per il 2010 e il 2011. Ma già nel 2011, oltre ai risparmi il Ministero ha dovuto utilizzare in parte anche le risorse del Fondo per il miglioramento dell'offerta formativa (MOF). Sottolinea infatti che, secondo la legge di stabilità 2012, le risorse da dedicare al recupero degli scatti possono essere anche aggiuntive rispetto al 30 per cento dei risparmi; in questo caso, devono essere individuate attraverso una apposita sessione negoziale, senza ulteriori oneri per lo Stato. Nel comunicare che è in corso la sessione negoziale per il 2012, rileva che per il 2013 al personale della scuola è stato intimato di restituire gli scatti percepiti. </w:t>
      </w:r>
    </w:p>
    <w:p w:rsidR="001819EC" w:rsidRDefault="001819EC" w:rsidP="001819EC">
      <w:pPr>
        <w:autoSpaceDE w:val="0"/>
        <w:autoSpaceDN w:val="0"/>
        <w:adjustRightInd w:val="0"/>
        <w:ind w:firstLine="720"/>
        <w:jc w:val="both"/>
        <w:rPr>
          <w:color w:val="000000"/>
        </w:rPr>
      </w:pPr>
      <w:r>
        <w:rPr>
          <w:color w:val="000000"/>
        </w:rPr>
        <w:lastRenderedPageBreak/>
        <w:t xml:space="preserve">Soffermandosi dunque sull'articolato, segnala che in base all'articolo 1 le somme percepite non devono essere restituite, ma vanno a compensazione di quanto sarà recuperato  per gli scatti 2012, a conclusione della suddetta sessione negoziale. Come ha spiegato il ministro </w:t>
      </w:r>
      <w:proofErr w:type="spellStart"/>
      <w:r>
        <w:rPr>
          <w:color w:val="000000"/>
        </w:rPr>
        <w:t>Maria</w:t>
      </w:r>
      <w:proofErr w:type="spellEnd"/>
      <w:r>
        <w:rPr>
          <w:color w:val="000000"/>
        </w:rPr>
        <w:t xml:space="preserve"> Chiara Carrozza durante una recente audizione svolta in Commissione e come previsto dal comma 2 dell'articolo 1 del decreto in esame, la copertura dei 120 milioni di euro necessari sarà anzitutto trovata dai residui del Fondo relativo al 30 per cento dei risparmi, di cui peraltro ella auspica una quantificazione, tenuto conto che tali risorse sono state già impiegate anche per altri scopi importanti, come ad esempio l'assunzione di docenti di sostegno. La relatrice puntualizza inoltre che laddove detto Fondo non sia sufficiente, come stabilito dai negoziati con le organizzazioni sindacali, le risorse saranno sottratte dai 463 milioni di euro accantonati dal MOF dell'anno scolastico 2013-2014. </w:t>
      </w:r>
    </w:p>
    <w:p w:rsidR="001819EC" w:rsidRDefault="001819EC" w:rsidP="001819EC">
      <w:pPr>
        <w:autoSpaceDE w:val="0"/>
        <w:autoSpaceDN w:val="0"/>
        <w:adjustRightInd w:val="0"/>
        <w:ind w:firstLine="720"/>
        <w:jc w:val="both"/>
        <w:rPr>
          <w:color w:val="000000"/>
        </w:rPr>
      </w:pPr>
      <w:r>
        <w:rPr>
          <w:color w:val="000000"/>
        </w:rPr>
        <w:t xml:space="preserve">Illustra poi il comma 3 dell'articolo 1, secondo cui dette disposizioni hanno validità fino al 30 giugno 2014; se la sessione negoziale non dovesse essere conclusa, la somma dovrà essere versata all'erario. Dà indi conto del comma 4, secondo cui per il 2014 per il personale della scuola non vige alcun blocco degli scatti stipendiali, </w:t>
      </w:r>
      <w:proofErr w:type="spellStart"/>
      <w:r>
        <w:rPr>
          <w:color w:val="000000"/>
        </w:rPr>
        <w:t>nonchè</w:t>
      </w:r>
      <w:proofErr w:type="spellEnd"/>
      <w:r>
        <w:rPr>
          <w:color w:val="000000"/>
        </w:rPr>
        <w:t xml:space="preserve"> del comma 5, che autorizza il Ministro dell'economia e delle finanze ad apportare con propri decreti, le occorrenti variazioni di bilancio.</w:t>
      </w:r>
    </w:p>
    <w:p w:rsidR="001819EC" w:rsidRDefault="001819EC" w:rsidP="001819EC">
      <w:pPr>
        <w:autoSpaceDE w:val="0"/>
        <w:autoSpaceDN w:val="0"/>
        <w:adjustRightInd w:val="0"/>
        <w:ind w:firstLine="720"/>
        <w:jc w:val="both"/>
        <w:rPr>
          <w:color w:val="000000"/>
        </w:rPr>
      </w:pPr>
      <w:r>
        <w:rPr>
          <w:color w:val="000000"/>
        </w:rPr>
        <w:t xml:space="preserve">Avviandosi alla conclusione, si augura che si apra presto una nuova stagione di discussione contrattuale in cui vengano affiancati, all'anzianità di servizio, anche nuovi criteri di progressione di carriera per il personale della scuola, basati sul vero riconoscimento del complesso lavoro svolto nell'ambito delle autonomie scolastiche. A tale scopo auspica altresì che venga gradualmente ripristinato il Fondo destinato alle scuole, non solo per il miglioramento dell'offerta formativa ma anche per aumentare la retribuzione di quel personale maggiormente impegnato nelle attività formative. </w:t>
      </w:r>
    </w:p>
    <w:p w:rsidR="001819EC" w:rsidRDefault="001819EC" w:rsidP="001819EC">
      <w:pPr>
        <w:autoSpaceDE w:val="0"/>
        <w:autoSpaceDN w:val="0"/>
        <w:adjustRightInd w:val="0"/>
        <w:ind w:firstLine="720"/>
        <w:jc w:val="both"/>
        <w:rPr>
          <w:color w:val="000000"/>
        </w:rPr>
      </w:pPr>
    </w:p>
    <w:p w:rsidR="00B019C5" w:rsidRDefault="001819EC" w:rsidP="001819EC">
      <w:pPr>
        <w:autoSpaceDE w:val="0"/>
        <w:autoSpaceDN w:val="0"/>
        <w:adjustRightInd w:val="0"/>
        <w:ind w:firstLine="720"/>
        <w:jc w:val="both"/>
        <w:rPr>
          <w:color w:val="000000"/>
          <w:szCs w:val="24"/>
        </w:rPr>
      </w:pPr>
      <w:r>
        <w:rPr>
          <w:color w:val="000000"/>
        </w:rPr>
        <w:t>Il seguito dell'esame è rinviato.</w:t>
      </w:r>
    </w:p>
    <w:p w:rsidR="00B019C5" w:rsidRDefault="00B019C5" w:rsidP="00B019C5">
      <w:pPr>
        <w:autoSpaceDE w:val="0"/>
        <w:autoSpaceDN w:val="0"/>
        <w:adjustRightInd w:val="0"/>
        <w:jc w:val="center"/>
        <w:rPr>
          <w:color w:val="000000"/>
          <w:szCs w:val="24"/>
        </w:rPr>
      </w:pPr>
    </w:p>
    <w:p w:rsidR="00B019C5" w:rsidRDefault="00B019C5" w:rsidP="00B019C5">
      <w:pPr>
        <w:autoSpaceDE w:val="0"/>
        <w:autoSpaceDN w:val="0"/>
        <w:adjustRightInd w:val="0"/>
        <w:jc w:val="center"/>
        <w:rPr>
          <w:color w:val="000000"/>
          <w:szCs w:val="24"/>
        </w:rPr>
      </w:pPr>
    </w:p>
    <w:p w:rsidR="00B019C5" w:rsidRDefault="00B019C5" w:rsidP="006E3157">
      <w:pPr>
        <w:autoSpaceDE w:val="0"/>
        <w:autoSpaceDN w:val="0"/>
        <w:adjustRightInd w:val="0"/>
        <w:jc w:val="center"/>
        <w:rPr>
          <w:color w:val="000000"/>
          <w:szCs w:val="24"/>
        </w:rPr>
      </w:pPr>
    </w:p>
    <w:p w:rsidR="00B019C5" w:rsidRDefault="00B019C5">
      <w:pPr>
        <w:rPr>
          <w:color w:val="000000"/>
          <w:szCs w:val="24"/>
        </w:rPr>
      </w:pPr>
      <w:r>
        <w:rPr>
          <w:color w:val="000000"/>
          <w:szCs w:val="24"/>
        </w:rPr>
        <w:br w:type="page"/>
      </w:r>
    </w:p>
    <w:p w:rsidR="006E3157" w:rsidRPr="006E3157" w:rsidRDefault="008B180A" w:rsidP="000C2E68">
      <w:pPr>
        <w:rPr>
          <w:color w:val="000000"/>
          <w:szCs w:val="24"/>
        </w:rPr>
      </w:pPr>
      <w:r w:rsidRPr="008B180A">
        <w:rPr>
          <w:rFonts w:ascii="Arial" w:hAnsi="Arial" w:cs="Arial"/>
          <w:i/>
          <w:noProof/>
          <w:sz w:val="28"/>
          <w:szCs w:val="28"/>
          <w:lang w:eastAsia="en-US"/>
        </w:rPr>
        <w:lastRenderedPageBreak/>
        <w:pict>
          <v:shapetype id="_x0000_t202" coordsize="21600,21600" o:spt="202" path="m,l,21600r21600,l21600,xe">
            <v:stroke joinstyle="miter"/>
            <v:path gradientshapeok="t" o:connecttype="rect"/>
          </v:shapetype>
          <v:shape id="_x0000_s1027" type="#_x0000_t202" style="position:absolute;margin-left:63.3pt;margin-top:175.1pt;width:343.2pt;height:110.75pt;z-index:251660288;mso-width-relative:margin;mso-height-relative:margin">
            <v:textbox>
              <w:txbxContent>
                <w:p w:rsidR="00B019C5" w:rsidRPr="00B019C5" w:rsidRDefault="00B019C5" w:rsidP="00B019C5">
                  <w:pPr>
                    <w:shd w:val="clear" w:color="auto" w:fill="D9D9D9" w:themeFill="background1" w:themeFillShade="D9"/>
                    <w:jc w:val="center"/>
                    <w:rPr>
                      <w:b/>
                      <w:caps/>
                      <w:sz w:val="32"/>
                      <w:szCs w:val="32"/>
                    </w:rPr>
                  </w:pPr>
                </w:p>
                <w:p w:rsidR="00B019C5" w:rsidRPr="00B019C5" w:rsidRDefault="00B019C5" w:rsidP="00B019C5">
                  <w:pPr>
                    <w:shd w:val="clear" w:color="auto" w:fill="D9D9D9" w:themeFill="background1" w:themeFillShade="D9"/>
                    <w:jc w:val="center"/>
                    <w:rPr>
                      <w:b/>
                      <w:caps/>
                      <w:sz w:val="96"/>
                      <w:szCs w:val="96"/>
                    </w:rPr>
                  </w:pPr>
                  <w:r w:rsidRPr="00B019C5">
                    <w:rPr>
                      <w:b/>
                      <w:caps/>
                      <w:sz w:val="96"/>
                      <w:szCs w:val="96"/>
                    </w:rPr>
                    <w:t>pareri</w:t>
                  </w:r>
                </w:p>
              </w:txbxContent>
            </v:textbox>
          </v:shape>
        </w:pict>
      </w:r>
      <w:r w:rsidR="00B019C5">
        <w:rPr>
          <w:color w:val="000000"/>
          <w:szCs w:val="24"/>
        </w:rPr>
        <w:br w:type="page"/>
      </w:r>
      <w:r w:rsidR="000C2E68">
        <w:rPr>
          <w:noProof/>
          <w:color w:val="000000"/>
          <w:szCs w:val="24"/>
        </w:rPr>
        <w:lastRenderedPageBreak/>
        <w:drawing>
          <wp:inline distT="0" distB="0" distL="0" distR="0">
            <wp:extent cx="5940425" cy="8401685"/>
            <wp:effectExtent l="19050" t="0" r="3175" b="0"/>
            <wp:docPr id="2" name="Immagine 1" descr="1254 parere 1a presuppost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4 parere 1a presupposti.tif"/>
                    <pic:cNvPicPr/>
                  </pic:nvPicPr>
                  <pic:blipFill>
                    <a:blip r:embed="rId9" cstate="print"/>
                    <a:stretch>
                      <a:fillRect/>
                    </a:stretch>
                  </pic:blipFill>
                  <pic:spPr>
                    <a:xfrm>
                      <a:off x="0" y="0"/>
                      <a:ext cx="5940425" cy="8401685"/>
                    </a:xfrm>
                    <a:prstGeom prst="rect">
                      <a:avLst/>
                    </a:prstGeom>
                  </pic:spPr>
                </pic:pic>
              </a:graphicData>
            </a:graphic>
          </wp:inline>
        </w:drawing>
      </w:r>
    </w:p>
    <w:sectPr w:rsidR="006E3157" w:rsidRPr="006E3157" w:rsidSect="00A5744B">
      <w:headerReference w:type="even" r:id="rId10"/>
      <w:footerReference w:type="even" r:id="rId11"/>
      <w:footerReference w:type="default" r:id="rId12"/>
      <w:footerReference w:type="first" r:id="rId13"/>
      <w:pgSz w:w="11907" w:h="16840"/>
      <w:pgMar w:top="1418" w:right="1134"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591" w:rsidRDefault="00EB0591" w:rsidP="00A5744B">
      <w:r>
        <w:separator/>
      </w:r>
    </w:p>
  </w:endnote>
  <w:endnote w:type="continuationSeparator" w:id="0">
    <w:p w:rsidR="00EB0591" w:rsidRDefault="00EB0591" w:rsidP="00A574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91" w:rsidRDefault="008B180A" w:rsidP="00A068AC">
    <w:pPr>
      <w:pStyle w:val="Pidipagina"/>
      <w:framePr w:wrap="around" w:vAnchor="text" w:hAnchor="margin" w:xAlign="right" w:y="1"/>
      <w:rPr>
        <w:rStyle w:val="Numeropagina"/>
      </w:rPr>
    </w:pPr>
    <w:r>
      <w:rPr>
        <w:rStyle w:val="Numeropagina"/>
      </w:rPr>
      <w:fldChar w:fldCharType="begin"/>
    </w:r>
    <w:r w:rsidR="00EB0591">
      <w:rPr>
        <w:rStyle w:val="Numeropagina"/>
      </w:rPr>
      <w:instrText xml:space="preserve">PAGE  </w:instrText>
    </w:r>
    <w:r>
      <w:rPr>
        <w:rStyle w:val="Numeropagina"/>
      </w:rPr>
      <w:fldChar w:fldCharType="end"/>
    </w:r>
  </w:p>
  <w:p w:rsidR="00EB0591" w:rsidRDefault="00EB0591" w:rsidP="00A068A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91" w:rsidRDefault="008B180A" w:rsidP="00A068AC">
    <w:pPr>
      <w:pStyle w:val="Pidipagina"/>
      <w:framePr w:wrap="around" w:vAnchor="text" w:hAnchor="margin" w:xAlign="right" w:y="1"/>
      <w:rPr>
        <w:rStyle w:val="Numeropagina"/>
      </w:rPr>
    </w:pPr>
    <w:r>
      <w:rPr>
        <w:rStyle w:val="Numeropagina"/>
      </w:rPr>
      <w:fldChar w:fldCharType="begin"/>
    </w:r>
    <w:r w:rsidR="00EB0591">
      <w:rPr>
        <w:rStyle w:val="Numeropagina"/>
      </w:rPr>
      <w:instrText xml:space="preserve">PAGE  </w:instrText>
    </w:r>
    <w:r>
      <w:rPr>
        <w:rStyle w:val="Numeropagina"/>
      </w:rPr>
      <w:fldChar w:fldCharType="separate"/>
    </w:r>
    <w:r w:rsidR="00AF3794">
      <w:rPr>
        <w:rStyle w:val="Numeropagina"/>
        <w:noProof/>
      </w:rPr>
      <w:t>4</w:t>
    </w:r>
    <w:r>
      <w:rPr>
        <w:rStyle w:val="Numeropagina"/>
      </w:rPr>
      <w:fldChar w:fldCharType="end"/>
    </w:r>
  </w:p>
  <w:p w:rsidR="00EB0591" w:rsidRDefault="00EB0591" w:rsidP="00A068AC">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96C" w:rsidRDefault="0010496C">
    <w:pPr>
      <w:pStyle w:val="Pidipagina"/>
      <w:pBdr>
        <w:top w:val="thinThickSmallGap" w:sz="24" w:space="1" w:color="622423" w:themeColor="accent2" w:themeShade="7F"/>
      </w:pBdr>
      <w:rPr>
        <w:rFonts w:asciiTheme="majorHAnsi" w:hAnsiTheme="majorHAnsi"/>
      </w:rPr>
    </w:pPr>
    <w:r>
      <w:rPr>
        <w:rFonts w:ascii="Arial" w:hAnsi="Arial" w:cs="Arial"/>
        <w:b/>
        <w:i/>
        <w:sz w:val="22"/>
        <w:szCs w:val="22"/>
      </w:rPr>
      <w:t xml:space="preserve">* </w:t>
    </w:r>
    <w:r w:rsidRPr="00B172C5">
      <w:rPr>
        <w:rFonts w:ascii="Arial" w:hAnsi="Arial" w:cs="Arial"/>
        <w:b/>
        <w:i/>
        <w:sz w:val="22"/>
        <w:szCs w:val="22"/>
      </w:rPr>
      <w:t xml:space="preserve">I pareri espressi dalle Commissioni </w:t>
    </w:r>
    <w:r>
      <w:rPr>
        <w:rFonts w:ascii="Arial" w:hAnsi="Arial" w:cs="Arial"/>
        <w:b/>
        <w:i/>
        <w:sz w:val="22"/>
        <w:szCs w:val="22"/>
      </w:rPr>
      <w:t>consultate</w:t>
    </w:r>
    <w:r w:rsidRPr="00B172C5">
      <w:rPr>
        <w:rFonts w:ascii="Arial" w:hAnsi="Arial" w:cs="Arial"/>
        <w:b/>
        <w:i/>
        <w:sz w:val="22"/>
        <w:szCs w:val="22"/>
      </w:rPr>
      <w:t xml:space="preserve"> sono riportati in allegato al presente </w:t>
    </w:r>
    <w:proofErr w:type="spellStart"/>
    <w:r w:rsidRPr="00B172C5">
      <w:rPr>
        <w:rFonts w:ascii="Arial" w:hAnsi="Arial" w:cs="Arial"/>
        <w:b/>
        <w:i/>
        <w:sz w:val="22"/>
        <w:szCs w:val="22"/>
      </w:rPr>
      <w:t>schedone</w:t>
    </w:r>
    <w:proofErr w:type="spellEnd"/>
    <w:r>
      <w:rPr>
        <w:rFonts w:ascii="Arial" w:hAnsi="Arial" w:cs="Arial"/>
        <w:b/>
        <w:i/>
        <w:sz w:val="22"/>
        <w:szCs w:val="22"/>
      </w:rPr>
      <w:t xml:space="preserve"> </w:t>
    </w:r>
    <w:r>
      <w:rPr>
        <w:rFonts w:asciiTheme="majorHAnsi" w:hAnsiTheme="majorHAnsi"/>
      </w:rPr>
      <w:ptab w:relativeTo="margin" w:alignment="right" w:leader="none"/>
    </w:r>
    <w:r>
      <w:rPr>
        <w:rFonts w:asciiTheme="majorHAnsi" w:hAnsiTheme="majorHAnsi"/>
      </w:rPr>
      <w:t xml:space="preserve">Pagina </w:t>
    </w:r>
    <w:fldSimple w:instr=" PAGE   \* MERGEFORMAT ">
      <w:r w:rsidR="00AF3794" w:rsidRPr="00AF3794">
        <w:rPr>
          <w:rFonts w:asciiTheme="majorHAnsi" w:hAnsiTheme="majorHAnsi"/>
          <w:noProof/>
        </w:rPr>
        <w:t>1</w:t>
      </w:r>
    </w:fldSimple>
  </w:p>
  <w:p w:rsidR="0010496C" w:rsidRDefault="0010496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591" w:rsidRDefault="00EB0591" w:rsidP="00A5744B">
      <w:r>
        <w:separator/>
      </w:r>
    </w:p>
  </w:footnote>
  <w:footnote w:type="continuationSeparator" w:id="0">
    <w:p w:rsidR="00EB0591" w:rsidRDefault="00EB0591" w:rsidP="00A57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91" w:rsidRDefault="008B180A" w:rsidP="00E4126F">
    <w:pPr>
      <w:pStyle w:val="Intestazione"/>
      <w:framePr w:wrap="around" w:vAnchor="text" w:hAnchor="margin" w:xAlign="center" w:y="1"/>
      <w:rPr>
        <w:rStyle w:val="Numeropagina"/>
      </w:rPr>
    </w:pPr>
    <w:r>
      <w:rPr>
        <w:rStyle w:val="Numeropagina"/>
      </w:rPr>
      <w:fldChar w:fldCharType="begin"/>
    </w:r>
    <w:r w:rsidR="00EB0591">
      <w:rPr>
        <w:rStyle w:val="Numeropagina"/>
      </w:rPr>
      <w:instrText xml:space="preserve">PAGE  </w:instrText>
    </w:r>
    <w:r>
      <w:rPr>
        <w:rStyle w:val="Numeropagina"/>
      </w:rPr>
      <w:fldChar w:fldCharType="end"/>
    </w:r>
  </w:p>
  <w:p w:rsidR="00EB0591" w:rsidRDefault="00EB059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648BD"/>
    <w:multiLevelType w:val="hybridMultilevel"/>
    <w:tmpl w:val="8B5CC7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3212F"/>
    <w:rsid w:val="00016314"/>
    <w:rsid w:val="0002684E"/>
    <w:rsid w:val="0005023D"/>
    <w:rsid w:val="00071290"/>
    <w:rsid w:val="00074FED"/>
    <w:rsid w:val="00087642"/>
    <w:rsid w:val="000A2733"/>
    <w:rsid w:val="000A2928"/>
    <w:rsid w:val="000A61A2"/>
    <w:rsid w:val="000B38B9"/>
    <w:rsid w:val="000C2E68"/>
    <w:rsid w:val="000D1811"/>
    <w:rsid w:val="000D6C97"/>
    <w:rsid w:val="00101961"/>
    <w:rsid w:val="0010496C"/>
    <w:rsid w:val="00114D29"/>
    <w:rsid w:val="001819EC"/>
    <w:rsid w:val="00181E5B"/>
    <w:rsid w:val="00182A01"/>
    <w:rsid w:val="001959B0"/>
    <w:rsid w:val="001F0709"/>
    <w:rsid w:val="00235730"/>
    <w:rsid w:val="00250A35"/>
    <w:rsid w:val="002B1ADA"/>
    <w:rsid w:val="002B4255"/>
    <w:rsid w:val="00320762"/>
    <w:rsid w:val="00345EB4"/>
    <w:rsid w:val="003B300F"/>
    <w:rsid w:val="004034B0"/>
    <w:rsid w:val="004039B5"/>
    <w:rsid w:val="0040609F"/>
    <w:rsid w:val="00423903"/>
    <w:rsid w:val="004262E3"/>
    <w:rsid w:val="0046319D"/>
    <w:rsid w:val="00484BCC"/>
    <w:rsid w:val="00485C55"/>
    <w:rsid w:val="004A3801"/>
    <w:rsid w:val="004C0337"/>
    <w:rsid w:val="004C036C"/>
    <w:rsid w:val="004C2993"/>
    <w:rsid w:val="004D313C"/>
    <w:rsid w:val="004D4A11"/>
    <w:rsid w:val="004F4AAB"/>
    <w:rsid w:val="00590457"/>
    <w:rsid w:val="005A46CF"/>
    <w:rsid w:val="005A5DD4"/>
    <w:rsid w:val="005B39B2"/>
    <w:rsid w:val="005C4E96"/>
    <w:rsid w:val="005D392B"/>
    <w:rsid w:val="005D6AC1"/>
    <w:rsid w:val="00603764"/>
    <w:rsid w:val="006116A6"/>
    <w:rsid w:val="00615A10"/>
    <w:rsid w:val="00650A0D"/>
    <w:rsid w:val="00652904"/>
    <w:rsid w:val="00681EE4"/>
    <w:rsid w:val="00685411"/>
    <w:rsid w:val="006907E2"/>
    <w:rsid w:val="006B5400"/>
    <w:rsid w:val="006E0B54"/>
    <w:rsid w:val="006E3157"/>
    <w:rsid w:val="006E6D4C"/>
    <w:rsid w:val="006F6776"/>
    <w:rsid w:val="00715DDC"/>
    <w:rsid w:val="00723AD9"/>
    <w:rsid w:val="00724DD5"/>
    <w:rsid w:val="007438A1"/>
    <w:rsid w:val="00744B49"/>
    <w:rsid w:val="00753486"/>
    <w:rsid w:val="007537AC"/>
    <w:rsid w:val="0079117F"/>
    <w:rsid w:val="007A4B5A"/>
    <w:rsid w:val="007C29A0"/>
    <w:rsid w:val="00813B07"/>
    <w:rsid w:val="00820B94"/>
    <w:rsid w:val="00822A33"/>
    <w:rsid w:val="00826951"/>
    <w:rsid w:val="00854E3F"/>
    <w:rsid w:val="00875E6D"/>
    <w:rsid w:val="00880B6F"/>
    <w:rsid w:val="00882341"/>
    <w:rsid w:val="008A142D"/>
    <w:rsid w:val="008B180A"/>
    <w:rsid w:val="008B3002"/>
    <w:rsid w:val="008D1C7E"/>
    <w:rsid w:val="008F29AA"/>
    <w:rsid w:val="008F2C97"/>
    <w:rsid w:val="00910D97"/>
    <w:rsid w:val="009141B1"/>
    <w:rsid w:val="009303DA"/>
    <w:rsid w:val="00933D6E"/>
    <w:rsid w:val="0095274E"/>
    <w:rsid w:val="0096763C"/>
    <w:rsid w:val="009738D1"/>
    <w:rsid w:val="00976526"/>
    <w:rsid w:val="009842DB"/>
    <w:rsid w:val="00993A96"/>
    <w:rsid w:val="009A6F9F"/>
    <w:rsid w:val="009B39A0"/>
    <w:rsid w:val="009C144B"/>
    <w:rsid w:val="009E20C2"/>
    <w:rsid w:val="00A02B88"/>
    <w:rsid w:val="00A068AC"/>
    <w:rsid w:val="00A52E67"/>
    <w:rsid w:val="00A5744B"/>
    <w:rsid w:val="00A575CE"/>
    <w:rsid w:val="00A770F2"/>
    <w:rsid w:val="00A86B16"/>
    <w:rsid w:val="00A91E89"/>
    <w:rsid w:val="00A972E4"/>
    <w:rsid w:val="00A9739C"/>
    <w:rsid w:val="00AA1392"/>
    <w:rsid w:val="00AF3794"/>
    <w:rsid w:val="00B019C5"/>
    <w:rsid w:val="00B06027"/>
    <w:rsid w:val="00B24B6E"/>
    <w:rsid w:val="00B554BB"/>
    <w:rsid w:val="00B55573"/>
    <w:rsid w:val="00B64C3A"/>
    <w:rsid w:val="00B9416B"/>
    <w:rsid w:val="00BA24FB"/>
    <w:rsid w:val="00BA73CF"/>
    <w:rsid w:val="00BC0F80"/>
    <w:rsid w:val="00BC74AD"/>
    <w:rsid w:val="00BE3B85"/>
    <w:rsid w:val="00BF58CE"/>
    <w:rsid w:val="00C20D89"/>
    <w:rsid w:val="00C21DEF"/>
    <w:rsid w:val="00C442A6"/>
    <w:rsid w:val="00C751E5"/>
    <w:rsid w:val="00C83F66"/>
    <w:rsid w:val="00C95FF0"/>
    <w:rsid w:val="00CC09B7"/>
    <w:rsid w:val="00CC6960"/>
    <w:rsid w:val="00CC7791"/>
    <w:rsid w:val="00CD024D"/>
    <w:rsid w:val="00CD63F2"/>
    <w:rsid w:val="00CD77D0"/>
    <w:rsid w:val="00CF024C"/>
    <w:rsid w:val="00CF2EB5"/>
    <w:rsid w:val="00D01CD9"/>
    <w:rsid w:val="00D0317C"/>
    <w:rsid w:val="00D3212F"/>
    <w:rsid w:val="00D363BD"/>
    <w:rsid w:val="00D5421C"/>
    <w:rsid w:val="00D9465A"/>
    <w:rsid w:val="00DC2D0E"/>
    <w:rsid w:val="00DC4CD9"/>
    <w:rsid w:val="00DF6475"/>
    <w:rsid w:val="00E019B8"/>
    <w:rsid w:val="00E02AE7"/>
    <w:rsid w:val="00E202AF"/>
    <w:rsid w:val="00E2504B"/>
    <w:rsid w:val="00E319C7"/>
    <w:rsid w:val="00E36B3C"/>
    <w:rsid w:val="00E4126F"/>
    <w:rsid w:val="00E44C62"/>
    <w:rsid w:val="00E672CC"/>
    <w:rsid w:val="00E73165"/>
    <w:rsid w:val="00E773DE"/>
    <w:rsid w:val="00E94A0C"/>
    <w:rsid w:val="00EB0591"/>
    <w:rsid w:val="00EB4515"/>
    <w:rsid w:val="00EC626E"/>
    <w:rsid w:val="00ED6811"/>
    <w:rsid w:val="00ED7A35"/>
    <w:rsid w:val="00EF5B45"/>
    <w:rsid w:val="00F0017F"/>
    <w:rsid w:val="00F51C37"/>
    <w:rsid w:val="00F568D9"/>
    <w:rsid w:val="00F74C24"/>
    <w:rsid w:val="00F75F14"/>
    <w:rsid w:val="00F95FAD"/>
    <w:rsid w:val="00FE4A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7642"/>
    <w:rPr>
      <w:sz w:val="24"/>
    </w:rPr>
  </w:style>
  <w:style w:type="paragraph" w:styleId="Titolo1">
    <w:name w:val="heading 1"/>
    <w:basedOn w:val="Normale"/>
    <w:next w:val="Normale"/>
    <w:link w:val="Titolo1Carattere"/>
    <w:autoRedefine/>
    <w:qFormat/>
    <w:rsid w:val="00E36B3C"/>
    <w:pPr>
      <w:keepNext/>
      <w:ind w:right="-1"/>
      <w:jc w:val="center"/>
      <w:outlineLvl w:val="0"/>
    </w:pPr>
  </w:style>
  <w:style w:type="paragraph" w:styleId="Titolo2">
    <w:name w:val="heading 2"/>
    <w:basedOn w:val="Normale"/>
    <w:next w:val="Normale"/>
    <w:qFormat/>
    <w:rsid w:val="00087642"/>
    <w:pPr>
      <w:keepNext/>
      <w:ind w:left="284" w:right="432"/>
      <w:jc w:val="both"/>
      <w:outlineLvl w:val="1"/>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rsid w:val="00880B6F"/>
    <w:pPr>
      <w:tabs>
        <w:tab w:val="right" w:leader="dot" w:pos="9356"/>
      </w:tabs>
      <w:ind w:right="424"/>
      <w:jc w:val="both"/>
    </w:pPr>
    <w:rPr>
      <w:szCs w:val="24"/>
    </w:rPr>
  </w:style>
  <w:style w:type="character" w:styleId="Collegamentoipertestuale">
    <w:name w:val="Hyperlink"/>
    <w:basedOn w:val="Carpredefinitoparagrafo"/>
    <w:uiPriority w:val="99"/>
    <w:rsid w:val="004C2993"/>
    <w:rPr>
      <w:color w:val="0000FF"/>
      <w:u w:val="single"/>
    </w:rPr>
  </w:style>
  <w:style w:type="table" w:styleId="Grigliatabella">
    <w:name w:val="Table Grid"/>
    <w:basedOn w:val="Tabellanormale"/>
    <w:rsid w:val="004C2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E36B3C"/>
    <w:rPr>
      <w:sz w:val="24"/>
    </w:rPr>
  </w:style>
  <w:style w:type="paragraph" w:styleId="Intestazione">
    <w:name w:val="header"/>
    <w:basedOn w:val="Normale"/>
    <w:rsid w:val="00E4126F"/>
    <w:pPr>
      <w:tabs>
        <w:tab w:val="center" w:pos="4819"/>
        <w:tab w:val="right" w:pos="9638"/>
      </w:tabs>
    </w:pPr>
  </w:style>
  <w:style w:type="character" w:styleId="Numeropagina">
    <w:name w:val="page number"/>
    <w:basedOn w:val="Carpredefinitoparagrafo"/>
    <w:rsid w:val="00E4126F"/>
  </w:style>
  <w:style w:type="paragraph" w:styleId="Pidipagina">
    <w:name w:val="footer"/>
    <w:basedOn w:val="Normale"/>
    <w:link w:val="PidipaginaCarattere"/>
    <w:uiPriority w:val="99"/>
    <w:rsid w:val="00A068AC"/>
    <w:pPr>
      <w:tabs>
        <w:tab w:val="center" w:pos="4819"/>
        <w:tab w:val="right" w:pos="9638"/>
      </w:tabs>
    </w:pPr>
  </w:style>
  <w:style w:type="paragraph" w:styleId="Testofumetto">
    <w:name w:val="Balloon Text"/>
    <w:basedOn w:val="Normale"/>
    <w:semiHidden/>
    <w:rsid w:val="0079117F"/>
    <w:rPr>
      <w:rFonts w:ascii="Tahoma" w:hAnsi="Tahoma" w:cs="Tahoma"/>
      <w:sz w:val="16"/>
      <w:szCs w:val="16"/>
    </w:rPr>
  </w:style>
  <w:style w:type="character" w:customStyle="1" w:styleId="PidipaginaCarattere">
    <w:name w:val="Piè di pagina Carattere"/>
    <w:basedOn w:val="Carpredefinitoparagrafo"/>
    <w:link w:val="Pidipagina"/>
    <w:uiPriority w:val="99"/>
    <w:rsid w:val="0010496C"/>
    <w:rPr>
      <w:sz w:val="24"/>
    </w:rPr>
  </w:style>
</w:styles>
</file>

<file path=word/webSettings.xml><?xml version="1.0" encoding="utf-8"?>
<w:webSettings xmlns:r="http://schemas.openxmlformats.org/officeDocument/2006/relationships" xmlns:w="http://schemas.openxmlformats.org/wordprocessingml/2006/main">
  <w:divs>
    <w:div w:id="21256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A5740-33BE-46B3-BF2F-C8E36C461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922</Words>
  <Characters>5519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SENATO DELLA REPUBBLICA</vt:lpstr>
    </vt:vector>
  </TitlesOfParts>
  <Company>Senato della Repubblica</Company>
  <LinksUpToDate>false</LinksUpToDate>
  <CharactersWithSpaces>6429</CharactersWithSpaces>
  <SharedDoc>false</SharedDoc>
  <HLinks>
    <vt:vector size="6" baseType="variant">
      <vt:variant>
        <vt:i4>1114171</vt:i4>
      </vt:variant>
      <vt:variant>
        <vt:i4>2</vt:i4>
      </vt:variant>
      <vt:variant>
        <vt:i4>0</vt:i4>
      </vt:variant>
      <vt:variant>
        <vt:i4>5</vt:i4>
      </vt:variant>
      <vt:variant>
        <vt:lpwstr/>
      </vt:variant>
      <vt:variant>
        <vt:lpwstr>_Toc247597706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SENATO DELLA REPUBBLICA</dc:title>
  <dc:creator>INFORMATICA</dc:creator>
  <cp:lastModifiedBy>MATARRESE</cp:lastModifiedBy>
  <cp:revision>5</cp:revision>
  <cp:lastPrinted>2010-02-23T13:29:00Z</cp:lastPrinted>
  <dcterms:created xsi:type="dcterms:W3CDTF">2014-01-28T12:17:00Z</dcterms:created>
  <dcterms:modified xsi:type="dcterms:W3CDTF">2014-01-30T08:14:00Z</dcterms:modified>
</cp:coreProperties>
</file>